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E603D" w14:textId="4AE2E9CF" w:rsidR="008819F8" w:rsidRPr="00C1475A" w:rsidRDefault="006516EB" w:rsidP="00863472">
      <w:pPr>
        <w:pStyle w:val="NormalWeb"/>
        <w:jc w:val="center"/>
        <w:rPr>
          <w:rFonts w:ascii="Verdana" w:hAnsi="Verdana"/>
        </w:rPr>
      </w:pPr>
      <w:bookmarkStart w:id="0" w:name="_Hlk33784864"/>
      <w:r w:rsidRPr="00C1475A">
        <w:rPr>
          <w:rFonts w:ascii="Verdana" w:hAnsi="Verdana"/>
          <w:noProof/>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C1475A" w:rsidRDefault="008819F8" w:rsidP="00863472">
      <w:pPr>
        <w:rPr>
          <w:szCs w:val="24"/>
        </w:rPr>
      </w:pPr>
    </w:p>
    <w:p w14:paraId="6E0E6040" w14:textId="698FEF29" w:rsidR="00743DDB" w:rsidRPr="00C1475A" w:rsidRDefault="00290021" w:rsidP="00863472">
      <w:pPr>
        <w:pStyle w:val="NoSpacing"/>
        <w:rPr>
          <w:rFonts w:ascii="Arial" w:hAnsi="Arial" w:cs="Arial"/>
          <w:iCs/>
          <w:sz w:val="24"/>
          <w:szCs w:val="24"/>
        </w:rPr>
      </w:pPr>
      <w:r>
        <w:rPr>
          <w:rFonts w:ascii="Arial" w:hAnsi="Arial" w:cs="Arial"/>
          <w:iCs/>
          <w:sz w:val="24"/>
          <w:szCs w:val="24"/>
        </w:rPr>
        <w:t>October 21</w:t>
      </w:r>
      <w:r w:rsidR="008129A3" w:rsidRPr="00C1475A">
        <w:rPr>
          <w:rFonts w:ascii="Arial" w:hAnsi="Arial" w:cs="Arial"/>
          <w:iCs/>
          <w:sz w:val="24"/>
          <w:szCs w:val="24"/>
        </w:rPr>
        <w:t>, 20</w:t>
      </w:r>
      <w:r w:rsidR="001F686F" w:rsidRPr="00C1475A">
        <w:rPr>
          <w:rFonts w:ascii="Arial" w:hAnsi="Arial" w:cs="Arial"/>
          <w:iCs/>
          <w:sz w:val="24"/>
          <w:szCs w:val="24"/>
        </w:rPr>
        <w:t>2</w:t>
      </w:r>
      <w:r w:rsidR="00DA1C2A">
        <w:rPr>
          <w:rFonts w:ascii="Arial" w:hAnsi="Arial" w:cs="Arial"/>
          <w:iCs/>
          <w:sz w:val="24"/>
          <w:szCs w:val="24"/>
        </w:rPr>
        <w:t>4</w:t>
      </w:r>
    </w:p>
    <w:p w14:paraId="6E0E6041" w14:textId="26581954" w:rsidR="00E55131" w:rsidRPr="00C1475A" w:rsidRDefault="00E55131" w:rsidP="00863472">
      <w:pPr>
        <w:pStyle w:val="NoSpacing"/>
        <w:rPr>
          <w:rFonts w:ascii="Arial" w:hAnsi="Arial" w:cs="Arial"/>
          <w:i/>
          <w:sz w:val="24"/>
          <w:szCs w:val="24"/>
          <w:u w:val="single"/>
        </w:rPr>
      </w:pPr>
    </w:p>
    <w:p w14:paraId="010705E1" w14:textId="77777777" w:rsidR="007D54CE" w:rsidRPr="00C1475A" w:rsidRDefault="007D54CE" w:rsidP="007D54CE">
      <w:pPr>
        <w:pStyle w:val="NoSpacing"/>
        <w:rPr>
          <w:rFonts w:ascii="Arial" w:hAnsi="Arial" w:cs="Arial"/>
          <w:iCs/>
          <w:color w:val="000066"/>
          <w:sz w:val="24"/>
          <w:szCs w:val="24"/>
        </w:rPr>
      </w:pPr>
      <w:r w:rsidRPr="00C1475A">
        <w:rPr>
          <w:rFonts w:ascii="Arial" w:hAnsi="Arial" w:cs="Arial"/>
          <w:iCs/>
          <w:color w:val="000066"/>
          <w:sz w:val="24"/>
          <w:szCs w:val="24"/>
        </w:rPr>
        <w:t>In This Update</w:t>
      </w:r>
    </w:p>
    <w:p w14:paraId="1CD06031" w14:textId="77777777" w:rsidR="007D54CE" w:rsidRPr="00752116" w:rsidRDefault="007D54CE" w:rsidP="00B62E6A">
      <w:pPr>
        <w:pStyle w:val="NoSpacing"/>
        <w:spacing w:before="120"/>
        <w:rPr>
          <w:rFonts w:ascii="Arial" w:hAnsi="Arial" w:cs="Arial"/>
          <w:i/>
          <w:color w:val="000066"/>
          <w:sz w:val="24"/>
          <w:szCs w:val="24"/>
          <w:u w:val="single"/>
        </w:rPr>
      </w:pPr>
    </w:p>
    <w:p w14:paraId="25CB9AF6" w14:textId="0D9980DA" w:rsidR="006F53E7" w:rsidRPr="00DD248A" w:rsidRDefault="00396DB3">
      <w:pPr>
        <w:pStyle w:val="TOC1"/>
        <w:rPr>
          <w:rFonts w:ascii="Arial" w:eastAsiaTheme="minorEastAsia" w:hAnsi="Arial" w:cs="Arial"/>
          <w:noProof/>
          <w:color w:val="000066"/>
          <w:kern w:val="2"/>
          <w:szCs w:val="24"/>
          <w14:ligatures w14:val="standardContextual"/>
        </w:rPr>
      </w:pPr>
      <w:r w:rsidRPr="00DD248A">
        <w:rPr>
          <w:rFonts w:ascii="Arial" w:hAnsi="Arial" w:cs="Arial"/>
          <w:i/>
          <w:color w:val="000066"/>
          <w:szCs w:val="24"/>
        </w:rPr>
        <w:fldChar w:fldCharType="begin"/>
      </w:r>
      <w:r w:rsidRPr="00DD248A">
        <w:rPr>
          <w:rFonts w:ascii="Arial" w:hAnsi="Arial" w:cs="Arial"/>
          <w:i/>
          <w:color w:val="000066"/>
          <w:szCs w:val="24"/>
        </w:rPr>
        <w:instrText xml:space="preserve"> TOC \o "1-3" \n \h \z \u </w:instrText>
      </w:r>
      <w:r w:rsidRPr="00DD248A">
        <w:rPr>
          <w:rFonts w:ascii="Arial" w:hAnsi="Arial" w:cs="Arial"/>
          <w:i/>
          <w:color w:val="000066"/>
          <w:szCs w:val="24"/>
        </w:rPr>
        <w:fldChar w:fldCharType="separate"/>
      </w:r>
      <w:hyperlink w:anchor="_Toc180398773" w:history="1">
        <w:r w:rsidR="006F53E7" w:rsidRPr="00DD248A">
          <w:rPr>
            <w:rStyle w:val="Hyperlink"/>
            <w:rFonts w:ascii="Arial" w:hAnsi="Arial" w:cs="Arial"/>
            <w:noProof/>
            <w:color w:val="000066"/>
          </w:rPr>
          <w:t>Corporate Credit Reviews and Mortgage Reserve Fund Requirements</w:t>
        </w:r>
      </w:hyperlink>
    </w:p>
    <w:p w14:paraId="0F04840C" w14:textId="38E2EF6A" w:rsidR="006F53E7" w:rsidRPr="00DD248A" w:rsidRDefault="006F53E7">
      <w:pPr>
        <w:pStyle w:val="TOC1"/>
        <w:rPr>
          <w:rFonts w:ascii="Arial" w:eastAsiaTheme="minorEastAsia" w:hAnsi="Arial" w:cs="Arial"/>
          <w:noProof/>
          <w:color w:val="000066"/>
          <w:kern w:val="2"/>
          <w:szCs w:val="24"/>
          <w14:ligatures w14:val="standardContextual"/>
        </w:rPr>
      </w:pPr>
      <w:hyperlink w:anchor="_Toc180398774" w:history="1">
        <w:r w:rsidRPr="00DD248A">
          <w:rPr>
            <w:rStyle w:val="Hyperlink"/>
            <w:rFonts w:ascii="Arial" w:hAnsi="Arial" w:cs="Arial"/>
            <w:noProof/>
            <w:color w:val="000066"/>
          </w:rPr>
          <w:t>New Workload Manager in ORCF Production</w:t>
        </w:r>
      </w:hyperlink>
    </w:p>
    <w:p w14:paraId="3B4A6812" w14:textId="3C97AC13" w:rsidR="006F53E7" w:rsidRPr="00DD248A" w:rsidRDefault="006F53E7">
      <w:pPr>
        <w:pStyle w:val="TOC1"/>
        <w:rPr>
          <w:rFonts w:ascii="Arial" w:eastAsiaTheme="minorEastAsia" w:hAnsi="Arial" w:cs="Arial"/>
          <w:noProof/>
          <w:color w:val="000066"/>
          <w:kern w:val="2"/>
          <w:szCs w:val="24"/>
          <w14:ligatures w14:val="standardContextual"/>
        </w:rPr>
      </w:pPr>
      <w:hyperlink w:anchor="_Toc180398775" w:history="1">
        <w:r w:rsidRPr="00DD248A">
          <w:rPr>
            <w:rStyle w:val="Hyperlink"/>
            <w:rFonts w:ascii="Arial" w:hAnsi="Arial" w:cs="Arial"/>
            <w:noProof/>
            <w:color w:val="000066"/>
          </w:rPr>
          <w:t>Settlement Agreement in Massachusetts Impacts Some Section 232 Skilled Nursing Facility Applications</w:t>
        </w:r>
      </w:hyperlink>
    </w:p>
    <w:p w14:paraId="30875EB8" w14:textId="2657F551" w:rsidR="006F53E7" w:rsidRPr="00DD248A" w:rsidRDefault="006F53E7">
      <w:pPr>
        <w:pStyle w:val="TOC1"/>
        <w:rPr>
          <w:rFonts w:ascii="Arial" w:eastAsiaTheme="minorEastAsia" w:hAnsi="Arial" w:cs="Arial"/>
          <w:noProof/>
          <w:color w:val="000066"/>
          <w:kern w:val="2"/>
          <w:szCs w:val="24"/>
          <w14:ligatures w14:val="standardContextual"/>
        </w:rPr>
      </w:pPr>
      <w:hyperlink w:anchor="_Toc180398776" w:history="1">
        <w:r w:rsidRPr="00DD248A">
          <w:rPr>
            <w:rStyle w:val="Hyperlink"/>
            <w:rFonts w:ascii="Arial" w:hAnsi="Arial" w:cs="Arial"/>
            <w:noProof/>
            <w:color w:val="000066"/>
          </w:rPr>
          <w:t>NSPIRE Technical Review Guidance and Step-By-Step Instructions on How To Submit Appeals and Close Out Deficiencies</w:t>
        </w:r>
      </w:hyperlink>
    </w:p>
    <w:p w14:paraId="54498D10" w14:textId="7BFD2727" w:rsidR="006F53E7" w:rsidRPr="00DD248A" w:rsidRDefault="006F53E7">
      <w:pPr>
        <w:pStyle w:val="TOC1"/>
        <w:rPr>
          <w:rFonts w:ascii="Arial" w:eastAsiaTheme="minorEastAsia" w:hAnsi="Arial" w:cs="Arial"/>
          <w:noProof/>
          <w:color w:val="000066"/>
          <w:kern w:val="2"/>
          <w:szCs w:val="24"/>
          <w14:ligatures w14:val="standardContextual"/>
        </w:rPr>
      </w:pPr>
      <w:hyperlink w:anchor="_Toc180398777" w:history="1">
        <w:r w:rsidRPr="00DD248A">
          <w:rPr>
            <w:rStyle w:val="Hyperlink"/>
            <w:rFonts w:ascii="Arial" w:hAnsi="Arial" w:cs="Arial"/>
            <w:noProof/>
            <w:color w:val="000066"/>
          </w:rPr>
          <w:t>Updated Lender Guidance for 10-Year Project Capital Needs Assesment Submissions</w:t>
        </w:r>
      </w:hyperlink>
    </w:p>
    <w:p w14:paraId="6E0E6047" w14:textId="24B57EF3" w:rsidR="00743DDB" w:rsidRPr="00C1475A" w:rsidRDefault="00396DB3" w:rsidP="00B62E6A">
      <w:pPr>
        <w:spacing w:before="120"/>
        <w:rPr>
          <w:rFonts w:ascii="Arial" w:hAnsi="Arial" w:cs="Arial"/>
          <w:iCs/>
          <w:szCs w:val="24"/>
        </w:rPr>
      </w:pPr>
      <w:r w:rsidRPr="00DD248A">
        <w:rPr>
          <w:rFonts w:ascii="Arial" w:hAnsi="Arial" w:cs="Arial"/>
          <w:i/>
          <w:color w:val="000066"/>
          <w:szCs w:val="24"/>
        </w:rPr>
        <w:fldChar w:fldCharType="end"/>
      </w:r>
    </w:p>
    <w:p w14:paraId="4E753755" w14:textId="77777777" w:rsidR="00A60DEA" w:rsidRPr="004E60DA" w:rsidRDefault="00A60DEA" w:rsidP="00A60DEA">
      <w:pPr>
        <w:pStyle w:val="EmailBlast"/>
        <w:rPr>
          <w:sz w:val="24"/>
          <w:szCs w:val="24"/>
        </w:rPr>
      </w:pPr>
      <w:bookmarkStart w:id="1" w:name="_Toc180398773"/>
      <w:r w:rsidRPr="004E60DA">
        <w:rPr>
          <w:szCs w:val="24"/>
        </w:rPr>
        <w:t>C</w:t>
      </w:r>
      <w:r>
        <w:rPr>
          <w:szCs w:val="24"/>
        </w:rPr>
        <w:t>orporate Credit Reviews and Mortgage Reserve Fund Requirements</w:t>
      </w:r>
      <w:bookmarkEnd w:id="1"/>
      <w:r w:rsidRPr="004E60DA">
        <w:rPr>
          <w:szCs w:val="24"/>
        </w:rPr>
        <w:t xml:space="preserve">  </w:t>
      </w:r>
    </w:p>
    <w:p w14:paraId="01D88BE1" w14:textId="1B4D54DA" w:rsidR="00A60DEA" w:rsidRPr="00FA0FDB" w:rsidRDefault="00A60DEA" w:rsidP="00A60DEA">
      <w:pPr>
        <w:rPr>
          <w:rFonts w:ascii="Arial" w:hAnsi="Arial" w:cs="Arial"/>
          <w:szCs w:val="24"/>
        </w:rPr>
      </w:pPr>
      <w:r w:rsidRPr="00FA0FDB">
        <w:rPr>
          <w:rFonts w:ascii="Arial" w:hAnsi="Arial" w:cs="Arial"/>
          <w:szCs w:val="24"/>
        </w:rPr>
        <w:t xml:space="preserve">HUD would like to remind lenders that </w:t>
      </w:r>
      <w:hyperlink r:id="rId12" w:history="1">
        <w:r w:rsidRPr="00FA0FDB">
          <w:rPr>
            <w:rStyle w:val="Hyperlink"/>
            <w:rFonts w:ascii="Arial" w:hAnsi="Arial" w:cs="Arial"/>
            <w:szCs w:val="24"/>
          </w:rPr>
          <w:t>Mortgagee Letter 2024-03</w:t>
        </w:r>
      </w:hyperlink>
      <w:r w:rsidRPr="00FA0FDB">
        <w:rPr>
          <w:rFonts w:ascii="Arial" w:hAnsi="Arial" w:cs="Arial"/>
          <w:szCs w:val="24"/>
        </w:rPr>
        <w:t xml:space="preserve">, includes the requirement for a Mortgage Reserve Fund (MRF) on large portfolios.  ORCF allows a limited number of applications </w:t>
      </w:r>
      <w:r w:rsidR="00D23A83" w:rsidRPr="00FA0FDB">
        <w:rPr>
          <w:rFonts w:ascii="Arial" w:hAnsi="Arial" w:cs="Arial"/>
          <w:szCs w:val="24"/>
        </w:rPr>
        <w:t xml:space="preserve">for projects that are part of a portfolio </w:t>
      </w:r>
      <w:r w:rsidRPr="00FA0FDB">
        <w:rPr>
          <w:rFonts w:ascii="Arial" w:hAnsi="Arial" w:cs="Arial"/>
          <w:szCs w:val="24"/>
        </w:rPr>
        <w:t xml:space="preserve">to be submitted and processed while a Corporate Credit Review (CCR) is being completed.  </w:t>
      </w:r>
      <w:r w:rsidR="00E11830" w:rsidRPr="00FA0FDB">
        <w:rPr>
          <w:rFonts w:ascii="Arial" w:hAnsi="Arial" w:cs="Arial"/>
          <w:szCs w:val="24"/>
        </w:rPr>
        <w:t xml:space="preserve">HUD will add </w:t>
      </w:r>
      <w:r w:rsidRPr="00FA0FDB">
        <w:rPr>
          <w:rFonts w:ascii="Arial" w:hAnsi="Arial" w:cs="Arial"/>
          <w:szCs w:val="24"/>
        </w:rPr>
        <w:t>a special condition</w:t>
      </w:r>
      <w:r w:rsidR="00E11830" w:rsidRPr="00FA0FDB">
        <w:rPr>
          <w:rFonts w:ascii="Arial" w:hAnsi="Arial" w:cs="Arial"/>
          <w:szCs w:val="24"/>
        </w:rPr>
        <w:t xml:space="preserve"> for a MRF</w:t>
      </w:r>
      <w:r w:rsidRPr="00FA0FDB">
        <w:rPr>
          <w:rFonts w:ascii="Arial" w:hAnsi="Arial" w:cs="Arial"/>
          <w:szCs w:val="24"/>
        </w:rPr>
        <w:t xml:space="preserve"> if a CCR is pending.  ORCF would also like to remind lenders that a “portfolio” is defined as all related projects, not just those above a CCR threshold, and thus all applications in a portfolio with a CCR will be required to include </w:t>
      </w:r>
      <w:proofErr w:type="gramStart"/>
      <w:r w:rsidRPr="00FA0FDB">
        <w:rPr>
          <w:rFonts w:ascii="Arial" w:hAnsi="Arial" w:cs="Arial"/>
          <w:szCs w:val="24"/>
        </w:rPr>
        <w:t>a</w:t>
      </w:r>
      <w:proofErr w:type="gramEnd"/>
      <w:r w:rsidRPr="00FA0FDB">
        <w:rPr>
          <w:rFonts w:ascii="Arial" w:hAnsi="Arial" w:cs="Arial"/>
          <w:szCs w:val="24"/>
        </w:rPr>
        <w:t xml:space="preserve"> MRF.  Existing closed projects are exempt from the MRF </w:t>
      </w:r>
      <w:r w:rsidR="00E07936" w:rsidRPr="00FA0FDB">
        <w:rPr>
          <w:rFonts w:ascii="Arial" w:hAnsi="Arial" w:cs="Arial"/>
          <w:szCs w:val="24"/>
        </w:rPr>
        <w:t>as loan terms cannot be modified on previously closed loans.</w:t>
      </w:r>
    </w:p>
    <w:p w14:paraId="6B7ADB9A" w14:textId="77777777" w:rsidR="00A60DEA" w:rsidRPr="00FA0FDB" w:rsidRDefault="00A60DEA" w:rsidP="00A60DEA">
      <w:pPr>
        <w:rPr>
          <w:rFonts w:ascii="Arial" w:hAnsi="Arial" w:cs="Arial"/>
          <w:szCs w:val="24"/>
        </w:rPr>
      </w:pPr>
    </w:p>
    <w:p w14:paraId="63478ADF" w14:textId="77777777" w:rsidR="00A60DEA" w:rsidRPr="00FA0FDB" w:rsidRDefault="00A60DEA" w:rsidP="00A60DEA">
      <w:pPr>
        <w:rPr>
          <w:rFonts w:ascii="Arial" w:hAnsi="Arial" w:cs="Arial"/>
          <w:szCs w:val="24"/>
        </w:rPr>
      </w:pPr>
      <w:r w:rsidRPr="00FA0FDB">
        <w:rPr>
          <w:rFonts w:ascii="Arial" w:hAnsi="Arial" w:cs="Arial"/>
          <w:szCs w:val="24"/>
        </w:rPr>
        <w:t>LARGE PORTFOLIO SIZE CLASSIFICATIONS FOR FISCAL YEAR 2025</w:t>
      </w:r>
    </w:p>
    <w:p w14:paraId="4AA77B61" w14:textId="77777777" w:rsidR="00A60DEA" w:rsidRPr="00FA0FDB" w:rsidRDefault="00A60DEA" w:rsidP="00A60DEA">
      <w:pPr>
        <w:rPr>
          <w:rFonts w:ascii="Arial" w:hAnsi="Arial" w:cs="Arial"/>
          <w:szCs w:val="24"/>
        </w:rPr>
      </w:pPr>
      <w:r w:rsidRPr="00FA0FDB">
        <w:rPr>
          <w:rFonts w:ascii="Arial" w:hAnsi="Arial" w:cs="Arial"/>
          <w:szCs w:val="24"/>
        </w:rPr>
        <w:t>Effective 10/1/2024, and in accordance with Mortgagee Letter 2024-03, the Large Portfolio size classifications are as follows:</w:t>
      </w:r>
    </w:p>
    <w:p w14:paraId="1635276F" w14:textId="77777777" w:rsidR="00A60DEA" w:rsidRPr="00FA0FDB" w:rsidRDefault="00A60DEA" w:rsidP="00A60DEA">
      <w:pPr>
        <w:rPr>
          <w:rFonts w:ascii="Arial" w:hAnsi="Arial" w:cs="Arial"/>
          <w:szCs w:val="24"/>
        </w:rPr>
      </w:pPr>
    </w:p>
    <w:tbl>
      <w:tblPr>
        <w:tblStyle w:val="TableGrid"/>
        <w:tblW w:w="0" w:type="auto"/>
        <w:tblLook w:val="04A0" w:firstRow="1" w:lastRow="0" w:firstColumn="1" w:lastColumn="0" w:noHBand="0" w:noVBand="1"/>
      </w:tblPr>
      <w:tblGrid>
        <w:gridCol w:w="2785"/>
        <w:gridCol w:w="900"/>
        <w:gridCol w:w="2250"/>
      </w:tblGrid>
      <w:tr w:rsidR="00644ABF" w:rsidRPr="00FA0FDB" w14:paraId="02A5320B" w14:textId="77777777" w:rsidTr="00EA1E8F">
        <w:tc>
          <w:tcPr>
            <w:tcW w:w="2785" w:type="dxa"/>
            <w:tcBorders>
              <w:bottom w:val="single" w:sz="4" w:space="0" w:color="auto"/>
            </w:tcBorders>
          </w:tcPr>
          <w:p w14:paraId="3D426D62" w14:textId="1387690E" w:rsidR="00644ABF" w:rsidRPr="00FA0FDB" w:rsidRDefault="00644ABF" w:rsidP="00A60DEA">
            <w:pPr>
              <w:rPr>
                <w:rFonts w:ascii="Arial" w:hAnsi="Arial" w:cs="Arial"/>
                <w:b/>
                <w:bCs/>
                <w:szCs w:val="24"/>
              </w:rPr>
            </w:pPr>
            <w:r w:rsidRPr="00FA0FDB">
              <w:rPr>
                <w:rFonts w:ascii="Arial" w:hAnsi="Arial" w:cs="Arial"/>
                <w:b/>
                <w:bCs/>
                <w:szCs w:val="24"/>
              </w:rPr>
              <w:t>Large Portfolio Size Classification</w:t>
            </w:r>
          </w:p>
        </w:tc>
        <w:tc>
          <w:tcPr>
            <w:tcW w:w="900" w:type="dxa"/>
            <w:tcBorders>
              <w:bottom w:val="single" w:sz="4" w:space="0" w:color="auto"/>
            </w:tcBorders>
          </w:tcPr>
          <w:p w14:paraId="386B0FA2" w14:textId="780AF32F" w:rsidR="00644ABF" w:rsidRPr="00FA0FDB" w:rsidRDefault="00644ABF" w:rsidP="00A60DEA">
            <w:pPr>
              <w:rPr>
                <w:rFonts w:ascii="Arial" w:hAnsi="Arial" w:cs="Arial"/>
                <w:b/>
                <w:bCs/>
                <w:szCs w:val="24"/>
              </w:rPr>
            </w:pPr>
            <w:r w:rsidRPr="00FA0FDB">
              <w:rPr>
                <w:rFonts w:ascii="Arial" w:hAnsi="Arial" w:cs="Arial"/>
                <w:b/>
                <w:bCs/>
                <w:szCs w:val="24"/>
              </w:rPr>
              <w:t>% of UPB</w:t>
            </w:r>
          </w:p>
        </w:tc>
        <w:tc>
          <w:tcPr>
            <w:tcW w:w="2250" w:type="dxa"/>
            <w:tcBorders>
              <w:bottom w:val="single" w:sz="4" w:space="0" w:color="auto"/>
            </w:tcBorders>
          </w:tcPr>
          <w:p w14:paraId="7E439B2E" w14:textId="077AA99C" w:rsidR="00644ABF" w:rsidRPr="00FA0FDB" w:rsidRDefault="00644ABF" w:rsidP="00A60DEA">
            <w:pPr>
              <w:rPr>
                <w:rFonts w:ascii="Arial" w:hAnsi="Arial" w:cs="Arial"/>
                <w:b/>
                <w:bCs/>
                <w:szCs w:val="24"/>
              </w:rPr>
            </w:pPr>
            <w:r w:rsidRPr="00FA0FDB">
              <w:rPr>
                <w:rFonts w:ascii="Arial" w:hAnsi="Arial" w:cs="Arial"/>
                <w:b/>
                <w:bCs/>
                <w:szCs w:val="24"/>
              </w:rPr>
              <w:t>Fiscal Year 2025 Amount</w:t>
            </w:r>
          </w:p>
        </w:tc>
      </w:tr>
      <w:tr w:rsidR="00644ABF" w:rsidRPr="00FA0FDB" w14:paraId="07ACE738" w14:textId="77777777" w:rsidTr="00EA1E8F">
        <w:tc>
          <w:tcPr>
            <w:tcW w:w="2785" w:type="dxa"/>
            <w:tcBorders>
              <w:top w:val="single" w:sz="4" w:space="0" w:color="auto"/>
            </w:tcBorders>
          </w:tcPr>
          <w:p w14:paraId="167D8D11" w14:textId="60506231" w:rsidR="00644ABF" w:rsidRPr="00FA0FDB" w:rsidRDefault="00644ABF" w:rsidP="00A60DEA">
            <w:pPr>
              <w:rPr>
                <w:rFonts w:ascii="Arial" w:hAnsi="Arial" w:cs="Arial"/>
                <w:szCs w:val="24"/>
              </w:rPr>
            </w:pPr>
            <w:r w:rsidRPr="00FA0FDB">
              <w:rPr>
                <w:rFonts w:ascii="Arial" w:hAnsi="Arial" w:cs="Arial"/>
                <w:szCs w:val="24"/>
              </w:rPr>
              <w:t>Operator</w:t>
            </w:r>
          </w:p>
        </w:tc>
        <w:tc>
          <w:tcPr>
            <w:tcW w:w="900" w:type="dxa"/>
            <w:tcBorders>
              <w:top w:val="single" w:sz="4" w:space="0" w:color="auto"/>
            </w:tcBorders>
          </w:tcPr>
          <w:p w14:paraId="69997A13" w14:textId="29819FA2" w:rsidR="00644ABF" w:rsidRPr="00FA0FDB" w:rsidRDefault="00644ABF" w:rsidP="001A19E0">
            <w:pPr>
              <w:jc w:val="center"/>
              <w:rPr>
                <w:rFonts w:ascii="Arial" w:hAnsi="Arial" w:cs="Arial"/>
                <w:szCs w:val="24"/>
              </w:rPr>
            </w:pPr>
            <w:r w:rsidRPr="00FA0FDB">
              <w:rPr>
                <w:rFonts w:ascii="Arial" w:hAnsi="Arial" w:cs="Arial"/>
                <w:szCs w:val="24"/>
              </w:rPr>
              <w:t>0.6%</w:t>
            </w:r>
          </w:p>
        </w:tc>
        <w:tc>
          <w:tcPr>
            <w:tcW w:w="2250" w:type="dxa"/>
            <w:tcBorders>
              <w:top w:val="single" w:sz="4" w:space="0" w:color="auto"/>
            </w:tcBorders>
          </w:tcPr>
          <w:p w14:paraId="3FED24E3" w14:textId="56C96CF4" w:rsidR="00644ABF" w:rsidRPr="00FA0FDB" w:rsidRDefault="00644ABF" w:rsidP="001A19E0">
            <w:pPr>
              <w:jc w:val="right"/>
              <w:rPr>
                <w:rFonts w:ascii="Arial" w:hAnsi="Arial" w:cs="Arial"/>
                <w:szCs w:val="24"/>
              </w:rPr>
            </w:pPr>
            <w:r w:rsidRPr="00FA0FDB">
              <w:rPr>
                <w:rFonts w:ascii="Arial" w:hAnsi="Arial" w:cs="Arial"/>
                <w:szCs w:val="24"/>
              </w:rPr>
              <w:t>$</w:t>
            </w:r>
            <w:r w:rsidR="001A19E0" w:rsidRPr="00FA0FDB">
              <w:rPr>
                <w:rFonts w:ascii="Arial" w:hAnsi="Arial" w:cs="Arial"/>
                <w:szCs w:val="24"/>
              </w:rPr>
              <w:t xml:space="preserve">        </w:t>
            </w:r>
            <w:r w:rsidRPr="00FA0FDB">
              <w:rPr>
                <w:rFonts w:ascii="Arial" w:hAnsi="Arial" w:cs="Arial"/>
                <w:szCs w:val="24"/>
              </w:rPr>
              <w:t>205,000,000</w:t>
            </w:r>
          </w:p>
        </w:tc>
      </w:tr>
      <w:tr w:rsidR="00644ABF" w:rsidRPr="00FA0FDB" w14:paraId="65C6FFC4" w14:textId="77777777" w:rsidTr="001A19E0">
        <w:tc>
          <w:tcPr>
            <w:tcW w:w="2785" w:type="dxa"/>
          </w:tcPr>
          <w:p w14:paraId="0F2EFF27" w14:textId="6CACE70B" w:rsidR="00644ABF" w:rsidRPr="00FA0FDB" w:rsidRDefault="00644ABF" w:rsidP="00A60DEA">
            <w:pPr>
              <w:rPr>
                <w:rFonts w:ascii="Arial" w:hAnsi="Arial" w:cs="Arial"/>
                <w:szCs w:val="24"/>
              </w:rPr>
            </w:pPr>
            <w:r w:rsidRPr="00FA0FDB">
              <w:rPr>
                <w:rFonts w:ascii="Arial" w:hAnsi="Arial" w:cs="Arial"/>
                <w:szCs w:val="24"/>
              </w:rPr>
              <w:t>Owner Only</w:t>
            </w:r>
          </w:p>
        </w:tc>
        <w:tc>
          <w:tcPr>
            <w:tcW w:w="900" w:type="dxa"/>
          </w:tcPr>
          <w:p w14:paraId="18FF2A4D" w14:textId="1310C70E" w:rsidR="00644ABF" w:rsidRPr="00FA0FDB" w:rsidRDefault="00644ABF" w:rsidP="001A19E0">
            <w:pPr>
              <w:jc w:val="center"/>
              <w:rPr>
                <w:rFonts w:ascii="Arial" w:hAnsi="Arial" w:cs="Arial"/>
                <w:szCs w:val="24"/>
              </w:rPr>
            </w:pPr>
            <w:r w:rsidRPr="00FA0FDB">
              <w:rPr>
                <w:rFonts w:ascii="Arial" w:hAnsi="Arial" w:cs="Arial"/>
                <w:szCs w:val="24"/>
              </w:rPr>
              <w:t>1.0%</w:t>
            </w:r>
          </w:p>
        </w:tc>
        <w:tc>
          <w:tcPr>
            <w:tcW w:w="2250" w:type="dxa"/>
          </w:tcPr>
          <w:p w14:paraId="1006891E" w14:textId="14374147" w:rsidR="00644ABF" w:rsidRPr="00FA0FDB" w:rsidRDefault="00644ABF" w:rsidP="001A19E0">
            <w:pPr>
              <w:jc w:val="right"/>
              <w:rPr>
                <w:rFonts w:ascii="Arial" w:hAnsi="Arial" w:cs="Arial"/>
                <w:szCs w:val="24"/>
              </w:rPr>
            </w:pPr>
            <w:r w:rsidRPr="00FA0FDB">
              <w:rPr>
                <w:rFonts w:ascii="Arial" w:hAnsi="Arial" w:cs="Arial"/>
                <w:szCs w:val="24"/>
              </w:rPr>
              <w:t>$</w:t>
            </w:r>
            <w:r w:rsidR="001A19E0" w:rsidRPr="00FA0FDB">
              <w:rPr>
                <w:rFonts w:ascii="Arial" w:hAnsi="Arial" w:cs="Arial"/>
                <w:szCs w:val="24"/>
              </w:rPr>
              <w:t xml:space="preserve">        </w:t>
            </w:r>
            <w:r w:rsidRPr="00FA0FDB">
              <w:rPr>
                <w:rFonts w:ascii="Arial" w:hAnsi="Arial" w:cs="Arial"/>
                <w:szCs w:val="24"/>
              </w:rPr>
              <w:t>342,000,000</w:t>
            </w:r>
          </w:p>
        </w:tc>
      </w:tr>
      <w:tr w:rsidR="00644ABF" w:rsidRPr="00FA0FDB" w14:paraId="47AA1D66" w14:textId="77777777" w:rsidTr="001A19E0">
        <w:tc>
          <w:tcPr>
            <w:tcW w:w="2785" w:type="dxa"/>
          </w:tcPr>
          <w:p w14:paraId="1E4EE111" w14:textId="345F6301" w:rsidR="00644ABF" w:rsidRPr="00FA0FDB" w:rsidRDefault="00644ABF" w:rsidP="00A60DEA">
            <w:pPr>
              <w:rPr>
                <w:rFonts w:ascii="Arial" w:hAnsi="Arial" w:cs="Arial"/>
                <w:szCs w:val="24"/>
              </w:rPr>
            </w:pPr>
            <w:r w:rsidRPr="00FA0FDB">
              <w:rPr>
                <w:rFonts w:ascii="Arial" w:hAnsi="Arial" w:cs="Arial"/>
                <w:szCs w:val="24"/>
              </w:rPr>
              <w:t>Requires ORM Review</w:t>
            </w:r>
          </w:p>
        </w:tc>
        <w:tc>
          <w:tcPr>
            <w:tcW w:w="900" w:type="dxa"/>
          </w:tcPr>
          <w:p w14:paraId="531CFB01" w14:textId="47B77DB1" w:rsidR="00644ABF" w:rsidRPr="00FA0FDB" w:rsidRDefault="00644ABF" w:rsidP="001A19E0">
            <w:pPr>
              <w:jc w:val="center"/>
              <w:rPr>
                <w:rFonts w:ascii="Arial" w:hAnsi="Arial" w:cs="Arial"/>
                <w:szCs w:val="24"/>
              </w:rPr>
            </w:pPr>
            <w:r w:rsidRPr="00FA0FDB">
              <w:rPr>
                <w:rFonts w:ascii="Arial" w:hAnsi="Arial" w:cs="Arial"/>
                <w:szCs w:val="24"/>
              </w:rPr>
              <w:t>2.0%</w:t>
            </w:r>
          </w:p>
        </w:tc>
        <w:tc>
          <w:tcPr>
            <w:tcW w:w="2250" w:type="dxa"/>
          </w:tcPr>
          <w:p w14:paraId="19D62730" w14:textId="0EA24C8A" w:rsidR="00644ABF" w:rsidRPr="00FA0FDB" w:rsidRDefault="00644ABF" w:rsidP="001A19E0">
            <w:pPr>
              <w:jc w:val="right"/>
              <w:rPr>
                <w:rFonts w:ascii="Arial" w:hAnsi="Arial" w:cs="Arial"/>
                <w:szCs w:val="24"/>
              </w:rPr>
            </w:pPr>
            <w:r w:rsidRPr="00FA0FDB">
              <w:rPr>
                <w:rFonts w:ascii="Arial" w:hAnsi="Arial" w:cs="Arial"/>
                <w:szCs w:val="24"/>
              </w:rPr>
              <w:t>$</w:t>
            </w:r>
            <w:r w:rsidR="001A19E0" w:rsidRPr="00FA0FDB">
              <w:rPr>
                <w:rFonts w:ascii="Arial" w:hAnsi="Arial" w:cs="Arial"/>
                <w:szCs w:val="24"/>
              </w:rPr>
              <w:t xml:space="preserve">        </w:t>
            </w:r>
            <w:r w:rsidRPr="00FA0FDB">
              <w:rPr>
                <w:rFonts w:ascii="Arial" w:hAnsi="Arial" w:cs="Arial"/>
                <w:szCs w:val="24"/>
              </w:rPr>
              <w:t>684,000,000</w:t>
            </w:r>
          </w:p>
        </w:tc>
      </w:tr>
      <w:tr w:rsidR="00644ABF" w:rsidRPr="00FA0FDB" w14:paraId="19E9E129" w14:textId="77777777" w:rsidTr="001A19E0">
        <w:tc>
          <w:tcPr>
            <w:tcW w:w="2785" w:type="dxa"/>
          </w:tcPr>
          <w:p w14:paraId="6436BE66" w14:textId="00F2FF74" w:rsidR="00644ABF" w:rsidRPr="00FA0FDB" w:rsidRDefault="00644ABF" w:rsidP="00A60DEA">
            <w:pPr>
              <w:rPr>
                <w:rFonts w:ascii="Arial" w:hAnsi="Arial" w:cs="Arial"/>
                <w:szCs w:val="24"/>
              </w:rPr>
            </w:pPr>
            <w:r w:rsidRPr="00FA0FDB">
              <w:rPr>
                <w:rFonts w:ascii="Arial" w:hAnsi="Arial" w:cs="Arial"/>
                <w:szCs w:val="24"/>
              </w:rPr>
              <w:t>Program Maximum</w:t>
            </w:r>
          </w:p>
        </w:tc>
        <w:tc>
          <w:tcPr>
            <w:tcW w:w="900" w:type="dxa"/>
          </w:tcPr>
          <w:p w14:paraId="233341EC" w14:textId="41B6A4D3" w:rsidR="00644ABF" w:rsidRPr="00FA0FDB" w:rsidRDefault="00644ABF" w:rsidP="001A19E0">
            <w:pPr>
              <w:jc w:val="center"/>
              <w:rPr>
                <w:rFonts w:ascii="Arial" w:hAnsi="Arial" w:cs="Arial"/>
                <w:szCs w:val="24"/>
              </w:rPr>
            </w:pPr>
            <w:r w:rsidRPr="00FA0FDB">
              <w:rPr>
                <w:rFonts w:ascii="Arial" w:hAnsi="Arial" w:cs="Arial"/>
                <w:szCs w:val="24"/>
              </w:rPr>
              <w:t>5.0%</w:t>
            </w:r>
          </w:p>
        </w:tc>
        <w:tc>
          <w:tcPr>
            <w:tcW w:w="2250" w:type="dxa"/>
          </w:tcPr>
          <w:p w14:paraId="0074BFAC" w14:textId="67846040" w:rsidR="00644ABF" w:rsidRPr="00FA0FDB" w:rsidRDefault="00644ABF" w:rsidP="001A19E0">
            <w:pPr>
              <w:jc w:val="right"/>
              <w:rPr>
                <w:rFonts w:ascii="Arial" w:hAnsi="Arial" w:cs="Arial"/>
                <w:szCs w:val="24"/>
              </w:rPr>
            </w:pPr>
            <w:r w:rsidRPr="00FA0FDB">
              <w:rPr>
                <w:rFonts w:ascii="Arial" w:hAnsi="Arial" w:cs="Arial"/>
                <w:szCs w:val="24"/>
              </w:rPr>
              <w:t>$</w:t>
            </w:r>
            <w:r w:rsidR="001A19E0" w:rsidRPr="00FA0FDB">
              <w:rPr>
                <w:rFonts w:ascii="Arial" w:hAnsi="Arial" w:cs="Arial"/>
                <w:szCs w:val="24"/>
              </w:rPr>
              <w:t xml:space="preserve">     </w:t>
            </w:r>
            <w:r w:rsidRPr="00FA0FDB">
              <w:rPr>
                <w:rFonts w:ascii="Arial" w:hAnsi="Arial" w:cs="Arial"/>
                <w:szCs w:val="24"/>
              </w:rPr>
              <w:t>1,708,000,000</w:t>
            </w:r>
          </w:p>
        </w:tc>
      </w:tr>
    </w:tbl>
    <w:p w14:paraId="1928656B" w14:textId="77777777" w:rsidR="00A60DEA" w:rsidRPr="00FA0FDB" w:rsidRDefault="00A60DEA" w:rsidP="00A60DEA">
      <w:pPr>
        <w:rPr>
          <w:rFonts w:ascii="Arial" w:hAnsi="Arial" w:cs="Arial"/>
          <w:szCs w:val="24"/>
        </w:rPr>
      </w:pPr>
    </w:p>
    <w:p w14:paraId="3DC77FC8" w14:textId="551BB12E" w:rsidR="00A60DEA" w:rsidRPr="00FA0FDB" w:rsidRDefault="00A60DEA" w:rsidP="00A60DEA">
      <w:pPr>
        <w:rPr>
          <w:rFonts w:ascii="Arial" w:hAnsi="Arial" w:cs="Arial"/>
          <w:i/>
          <w:iCs/>
          <w:szCs w:val="24"/>
        </w:rPr>
      </w:pPr>
      <w:r w:rsidRPr="00FA0FDB">
        <w:rPr>
          <w:rFonts w:ascii="Arial" w:hAnsi="Arial" w:cs="Arial"/>
          <w:b/>
          <w:bCs/>
          <w:i/>
          <w:iCs/>
          <w:szCs w:val="24"/>
        </w:rPr>
        <w:t xml:space="preserve">Keywords: </w:t>
      </w:r>
      <w:r w:rsidRPr="00FA0FDB">
        <w:rPr>
          <w:rFonts w:ascii="Arial" w:hAnsi="Arial" w:cs="Arial"/>
          <w:i/>
          <w:iCs/>
          <w:szCs w:val="24"/>
        </w:rPr>
        <w:t>Portfolio</w:t>
      </w:r>
      <w:r w:rsidR="004A6693" w:rsidRPr="00FA0FDB">
        <w:rPr>
          <w:rFonts w:ascii="Arial" w:hAnsi="Arial" w:cs="Arial"/>
          <w:i/>
          <w:iCs/>
          <w:szCs w:val="24"/>
        </w:rPr>
        <w:t>s</w:t>
      </w:r>
    </w:p>
    <w:p w14:paraId="297DE131" w14:textId="77777777" w:rsidR="00A60DEA" w:rsidRDefault="00A60DEA" w:rsidP="00A60DEA">
      <w:pPr>
        <w:rPr>
          <w:rFonts w:ascii="Arial" w:hAnsi="Arial" w:cs="Arial"/>
          <w:i/>
          <w:iCs/>
          <w:szCs w:val="24"/>
        </w:rPr>
      </w:pPr>
    </w:p>
    <w:p w14:paraId="5B525821" w14:textId="77777777" w:rsidR="00A60DEA" w:rsidRDefault="00A60DEA" w:rsidP="00A60DEA">
      <w:pPr>
        <w:rPr>
          <w:rFonts w:ascii="Arial" w:hAnsi="Arial" w:cs="Arial"/>
          <w:color w:val="365F91" w:themeColor="accent1" w:themeShade="BF"/>
          <w:szCs w:val="24"/>
          <w:u w:val="single"/>
        </w:rPr>
      </w:pPr>
      <w:hyperlink w:anchor="_top" w:history="1">
        <w:r w:rsidRPr="00C1475A">
          <w:rPr>
            <w:rFonts w:ascii="Arial" w:hAnsi="Arial" w:cs="Arial"/>
            <w:color w:val="365F91" w:themeColor="accent1" w:themeShade="BF"/>
            <w:szCs w:val="24"/>
            <w:u w:val="single"/>
          </w:rPr>
          <w:t>Back to top</w:t>
        </w:r>
      </w:hyperlink>
    </w:p>
    <w:p w14:paraId="703F7B97" w14:textId="77777777" w:rsidR="00A60DEA" w:rsidRDefault="00A60DEA" w:rsidP="00863472">
      <w:pPr>
        <w:rPr>
          <w:rFonts w:ascii="Arial" w:hAnsi="Arial" w:cs="Arial"/>
          <w:iCs/>
          <w:szCs w:val="24"/>
        </w:rPr>
      </w:pPr>
    </w:p>
    <w:p w14:paraId="43A8A303" w14:textId="77777777" w:rsidR="00FB1B77" w:rsidRPr="00FB1B77" w:rsidRDefault="00FB1B77" w:rsidP="00FB1B77">
      <w:pPr>
        <w:pStyle w:val="EmailBlast"/>
        <w:rPr>
          <w:sz w:val="24"/>
          <w:szCs w:val="24"/>
        </w:rPr>
      </w:pPr>
      <w:bookmarkStart w:id="2" w:name="_Toc169778097"/>
      <w:bookmarkStart w:id="3" w:name="_Toc180398774"/>
      <w:r w:rsidRPr="00FB1B77">
        <w:rPr>
          <w:szCs w:val="24"/>
        </w:rPr>
        <w:t>New Workload Manager in ORCF Production</w:t>
      </w:r>
      <w:bookmarkEnd w:id="2"/>
      <w:bookmarkEnd w:id="3"/>
    </w:p>
    <w:p w14:paraId="37827A0A" w14:textId="6D7B2612" w:rsidR="00FB1B77" w:rsidRPr="00FB1B77" w:rsidRDefault="00FB1B77" w:rsidP="00FB1B77">
      <w:pPr>
        <w:rPr>
          <w:rFonts w:ascii="Arial" w:hAnsi="Arial" w:cs="Arial"/>
          <w:szCs w:val="24"/>
        </w:rPr>
      </w:pPr>
      <w:r w:rsidRPr="00FB1B77">
        <w:rPr>
          <w:rFonts w:ascii="Arial" w:hAnsi="Arial" w:cs="Arial"/>
          <w:szCs w:val="24"/>
        </w:rPr>
        <w:t xml:space="preserve">Holly (Beal) Drake has been selected to be a Workload Manager in Production.  We have moved underwriters to Holly’s team to balance the workload between the Production Workload Managers.  Please refer to the </w:t>
      </w:r>
      <w:hyperlink r:id="rId13" w:history="1">
        <w:r w:rsidRPr="00FB1B77">
          <w:rPr>
            <w:rStyle w:val="Hyperlink"/>
            <w:rFonts w:ascii="Arial" w:hAnsi="Arial" w:cs="Arial"/>
            <w:szCs w:val="24"/>
          </w:rPr>
          <w:t>Underwriter Contact Sheet</w:t>
        </w:r>
      </w:hyperlink>
      <w:r w:rsidRPr="00FB1B77">
        <w:rPr>
          <w:rFonts w:ascii="Arial" w:hAnsi="Arial" w:cs="Arial"/>
          <w:szCs w:val="24"/>
        </w:rPr>
        <w:t xml:space="preserve"> posted on ORCF’s Production website to see the </w:t>
      </w:r>
      <w:r w:rsidR="00E07936">
        <w:rPr>
          <w:rFonts w:ascii="Arial" w:hAnsi="Arial" w:cs="Arial"/>
          <w:szCs w:val="24"/>
        </w:rPr>
        <w:t>composition</w:t>
      </w:r>
      <w:r w:rsidR="00290021">
        <w:rPr>
          <w:rFonts w:ascii="Arial" w:hAnsi="Arial" w:cs="Arial"/>
          <w:szCs w:val="24"/>
        </w:rPr>
        <w:t xml:space="preserve"> </w:t>
      </w:r>
      <w:r w:rsidRPr="00FB1B77">
        <w:rPr>
          <w:rFonts w:ascii="Arial" w:hAnsi="Arial" w:cs="Arial"/>
          <w:szCs w:val="24"/>
        </w:rPr>
        <w:t>of ORCF’s Production teams and contact information for underwriters and Workload Managers.</w:t>
      </w:r>
    </w:p>
    <w:p w14:paraId="2390A435" w14:textId="77777777" w:rsidR="00FB1B77" w:rsidRPr="00FB1B77" w:rsidRDefault="00FB1B77" w:rsidP="00FB1B77">
      <w:pPr>
        <w:rPr>
          <w:rFonts w:ascii="Arial" w:hAnsi="Arial" w:cs="Arial"/>
          <w:b/>
          <w:bCs/>
          <w:i/>
          <w:iCs/>
          <w:szCs w:val="24"/>
        </w:rPr>
      </w:pPr>
    </w:p>
    <w:p w14:paraId="7EF83F2C" w14:textId="77777777" w:rsidR="00FB1B77" w:rsidRDefault="00FB1B77" w:rsidP="00FB1B77">
      <w:pPr>
        <w:rPr>
          <w:rFonts w:ascii="Arial" w:hAnsi="Arial" w:cs="Arial"/>
          <w:i/>
          <w:iCs/>
          <w:szCs w:val="24"/>
        </w:rPr>
      </w:pPr>
      <w:r w:rsidRPr="00FB1B77">
        <w:rPr>
          <w:rFonts w:ascii="Arial" w:hAnsi="Arial" w:cs="Arial"/>
          <w:b/>
          <w:bCs/>
          <w:i/>
          <w:iCs/>
          <w:szCs w:val="24"/>
        </w:rPr>
        <w:t xml:space="preserve">Keywords: </w:t>
      </w:r>
      <w:bookmarkStart w:id="4" w:name="_Hlk170295212"/>
      <w:r w:rsidRPr="00FB1B77">
        <w:rPr>
          <w:rFonts w:ascii="Arial" w:hAnsi="Arial" w:cs="Arial"/>
          <w:i/>
          <w:iCs/>
          <w:szCs w:val="24"/>
        </w:rPr>
        <w:t>Workload Manager</w:t>
      </w:r>
      <w:bookmarkEnd w:id="4"/>
    </w:p>
    <w:p w14:paraId="45D90990" w14:textId="77777777" w:rsidR="008B65C5" w:rsidRPr="00FB1B77" w:rsidRDefault="008B65C5" w:rsidP="00FB1B77">
      <w:pPr>
        <w:rPr>
          <w:rFonts w:ascii="Arial" w:hAnsi="Arial" w:cs="Arial"/>
          <w:szCs w:val="24"/>
        </w:rPr>
      </w:pPr>
    </w:p>
    <w:p w14:paraId="60A0B29B" w14:textId="77777777" w:rsidR="008B65C5" w:rsidRDefault="008B65C5" w:rsidP="008B65C5">
      <w:pPr>
        <w:rPr>
          <w:rFonts w:ascii="Arial" w:hAnsi="Arial" w:cs="Arial"/>
          <w:color w:val="365F91" w:themeColor="accent1" w:themeShade="BF"/>
          <w:szCs w:val="24"/>
          <w:u w:val="single"/>
        </w:rPr>
      </w:pPr>
      <w:hyperlink w:anchor="_top" w:history="1">
        <w:r w:rsidRPr="00C1475A">
          <w:rPr>
            <w:rFonts w:ascii="Arial" w:hAnsi="Arial" w:cs="Arial"/>
            <w:color w:val="365F91" w:themeColor="accent1" w:themeShade="BF"/>
            <w:szCs w:val="24"/>
            <w:u w:val="single"/>
          </w:rPr>
          <w:t>Back to top</w:t>
        </w:r>
      </w:hyperlink>
    </w:p>
    <w:p w14:paraId="149C647D" w14:textId="77777777" w:rsidR="00FB1B77" w:rsidRPr="00A51414" w:rsidRDefault="00FB1B77" w:rsidP="00FB1B77">
      <w:pPr>
        <w:rPr>
          <w:rFonts w:ascii="Arial" w:hAnsi="Arial" w:cs="Arial"/>
          <w:szCs w:val="24"/>
        </w:rPr>
      </w:pPr>
    </w:p>
    <w:p w14:paraId="1DF1ECBB" w14:textId="77CF990C" w:rsidR="004E60DA" w:rsidRPr="004E60DA" w:rsidRDefault="004E60DA" w:rsidP="004E60DA">
      <w:pPr>
        <w:pStyle w:val="EmailBlast"/>
      </w:pPr>
      <w:bookmarkStart w:id="5" w:name="_Toc380585836"/>
      <w:bookmarkStart w:id="6" w:name="_Toc180398775"/>
      <w:bookmarkStart w:id="7" w:name="_Hlk137620511"/>
      <w:bookmarkEnd w:id="5"/>
      <w:r w:rsidRPr="004E60DA">
        <w:rPr>
          <w:szCs w:val="24"/>
        </w:rPr>
        <w:t>Settlement Agreement in Massachusetts Impacts Some Section 232 Skilled Nursing Facility Applications</w:t>
      </w:r>
      <w:bookmarkStart w:id="8" w:name="link_7"/>
      <w:bookmarkEnd w:id="6"/>
      <w:r w:rsidRPr="004E60DA">
        <w:rPr>
          <w:szCs w:val="24"/>
        </w:rPr>
        <w:t xml:space="preserve"> </w:t>
      </w:r>
      <w:bookmarkEnd w:id="8"/>
      <w:r w:rsidRPr="004E60DA">
        <w:rPr>
          <w:szCs w:val="24"/>
        </w:rPr>
        <w:t> </w:t>
      </w:r>
    </w:p>
    <w:p w14:paraId="65138451" w14:textId="1E81EAAA" w:rsidR="004E60DA" w:rsidRPr="004E60DA" w:rsidRDefault="004E60DA" w:rsidP="004E60DA">
      <w:pPr>
        <w:rPr>
          <w:rFonts w:ascii="Arial" w:hAnsi="Arial" w:cs="Arial"/>
          <w:szCs w:val="24"/>
        </w:rPr>
      </w:pPr>
      <w:r w:rsidRPr="004E60DA">
        <w:rPr>
          <w:rFonts w:ascii="Arial" w:hAnsi="Arial" w:cs="Arial"/>
          <w:szCs w:val="24"/>
        </w:rPr>
        <w:t xml:space="preserve">As some of you may be aware, a recent legal settlement in the State of Massachusetts related to the Olmstead decision has the potential to significantly impact the underwriting of nursing homes.  As part of this </w:t>
      </w:r>
      <w:hyperlink r:id="rId14" w:history="1">
        <w:r w:rsidRPr="004E60DA">
          <w:rPr>
            <w:rStyle w:val="Hyperlink"/>
            <w:rFonts w:ascii="Arial" w:hAnsi="Arial" w:cs="Arial"/>
            <w:szCs w:val="24"/>
          </w:rPr>
          <w:t>Settlement Agreement</w:t>
        </w:r>
      </w:hyperlink>
      <w:r w:rsidRPr="004E60DA">
        <w:rPr>
          <w:rFonts w:ascii="Arial" w:hAnsi="Arial" w:cs="Arial"/>
          <w:szCs w:val="24"/>
        </w:rPr>
        <w:t>, the State has committed to transition at least 2,400 adults with disabilities from nursing homes to community settings, over the next eight years.  Thus, this shift does not simply involve attrition but rather proactive steps to relocate existing SNF residents.  This will involve very extensive efforts on the state’s part that include Community Transition Liaison Program weekly meetings at each SNF to provide “in-reach,” informed choice, and transition planning assistance; meeting with nursing home residents (even those who do not express a desire to move); provision of additional Waiver slots; provision of additional rental subsidies; and provision of home modifications to support transitions, etc.</w:t>
      </w:r>
    </w:p>
    <w:p w14:paraId="1BD45AA8" w14:textId="77777777" w:rsidR="004E60DA" w:rsidRDefault="004E60DA" w:rsidP="004E60DA">
      <w:pPr>
        <w:rPr>
          <w:rFonts w:ascii="Arial" w:hAnsi="Arial" w:cs="Arial"/>
          <w:szCs w:val="24"/>
        </w:rPr>
      </w:pPr>
    </w:p>
    <w:p w14:paraId="38C81515" w14:textId="25A09081" w:rsidR="004E60DA" w:rsidRPr="004E60DA" w:rsidRDefault="004E60DA" w:rsidP="004E60DA">
      <w:pPr>
        <w:rPr>
          <w:rFonts w:ascii="Arial" w:hAnsi="Arial" w:cs="Arial"/>
          <w:szCs w:val="24"/>
        </w:rPr>
      </w:pPr>
      <w:r w:rsidRPr="004E60DA">
        <w:rPr>
          <w:rFonts w:ascii="Arial" w:hAnsi="Arial" w:cs="Arial"/>
          <w:szCs w:val="24"/>
        </w:rPr>
        <w:t xml:space="preserve">The 2,400 figure represents over 7% of the existing SNF residents in the State, and a significantly higher percentage of Medicaid-assisted SNF residents.  Moreover, while the Settlement Agreement does address special efforts to transition residents having behavioral disabilities, the transition effort is not limited to such individuals.  </w:t>
      </w:r>
    </w:p>
    <w:p w14:paraId="093A88D9" w14:textId="77777777" w:rsidR="004E60DA" w:rsidRDefault="004E60DA" w:rsidP="004E60DA">
      <w:pPr>
        <w:rPr>
          <w:rFonts w:ascii="Arial" w:hAnsi="Arial" w:cs="Arial"/>
          <w:szCs w:val="24"/>
        </w:rPr>
      </w:pPr>
    </w:p>
    <w:p w14:paraId="6EDD918E" w14:textId="7CC0BA3B" w:rsidR="004E60DA" w:rsidRPr="004E60DA" w:rsidRDefault="004E60DA" w:rsidP="004E60DA">
      <w:pPr>
        <w:rPr>
          <w:rFonts w:ascii="Arial" w:hAnsi="Arial" w:cs="Arial"/>
          <w:szCs w:val="24"/>
        </w:rPr>
      </w:pPr>
      <w:r w:rsidRPr="004E60DA">
        <w:rPr>
          <w:rFonts w:ascii="Arial" w:hAnsi="Arial" w:cs="Arial"/>
          <w:szCs w:val="24"/>
        </w:rPr>
        <w:t xml:space="preserve">In addressing the Lender Narrative Risk Factors Section Key Question 6, you will need to evaluate the potential impact of the State’s transition efforts on the facility and propose appropriate mitigants.  </w:t>
      </w:r>
      <w:r w:rsidR="00D1356F" w:rsidRPr="00D1356F">
        <w:rPr>
          <w:rFonts w:ascii="Arial" w:hAnsi="Arial" w:cs="Arial"/>
          <w:szCs w:val="24"/>
        </w:rPr>
        <w:t>Given the State’s commitment to transition 7% of current SNF residents within eight years, we would expect a SNF applicant to demonstrate the ability to sustain a loss of residents due to this initiative over that eight-year period.</w:t>
      </w:r>
      <w:r w:rsidRPr="004E60DA">
        <w:rPr>
          <w:rFonts w:ascii="Arial" w:hAnsi="Arial" w:cs="Arial"/>
          <w:szCs w:val="24"/>
        </w:rPr>
        <w:t xml:space="preserve"> Moreover, given that a high proportion of the transitioning residents may be non-traditional SNF residents, some special use facilities would be expected to demonstrate a capacity to sustain an even greater loss of occupancy resulting from this </w:t>
      </w:r>
      <w:r w:rsidRPr="004E60DA">
        <w:rPr>
          <w:rFonts w:ascii="Arial" w:hAnsi="Arial" w:cs="Arial"/>
          <w:szCs w:val="24"/>
        </w:rPr>
        <w:lastRenderedPageBreak/>
        <w:t>state initiative.  In evaluating this risk, you will want to consider the following matters</w:t>
      </w:r>
      <w:r w:rsidR="00E07936">
        <w:rPr>
          <w:rFonts w:ascii="Arial" w:hAnsi="Arial" w:cs="Arial"/>
          <w:szCs w:val="24"/>
        </w:rPr>
        <w:t>,</w:t>
      </w:r>
      <w:r w:rsidRPr="004E60DA">
        <w:rPr>
          <w:rFonts w:ascii="Arial" w:hAnsi="Arial" w:cs="Arial"/>
          <w:szCs w:val="24"/>
        </w:rPr>
        <w:t xml:space="preserve"> among others:</w:t>
      </w:r>
    </w:p>
    <w:p w14:paraId="4525E700" w14:textId="77777777" w:rsidR="004E60DA" w:rsidRPr="004E60DA" w:rsidRDefault="004E60DA" w:rsidP="004E60DA">
      <w:pPr>
        <w:numPr>
          <w:ilvl w:val="0"/>
          <w:numId w:val="3"/>
        </w:numPr>
        <w:spacing w:before="120"/>
        <w:rPr>
          <w:rFonts w:ascii="Arial" w:hAnsi="Arial" w:cs="Arial"/>
          <w:szCs w:val="24"/>
        </w:rPr>
      </w:pPr>
      <w:r w:rsidRPr="004E60DA">
        <w:rPr>
          <w:rFonts w:ascii="Arial" w:hAnsi="Arial" w:cs="Arial"/>
          <w:szCs w:val="24"/>
        </w:rPr>
        <w:t xml:space="preserve">The percentage of residents who are long-term residents. </w:t>
      </w:r>
    </w:p>
    <w:p w14:paraId="5A1BD2ED" w14:textId="1FF0636A" w:rsidR="004E60DA" w:rsidRPr="004E60DA" w:rsidRDefault="004E60DA" w:rsidP="004E60DA">
      <w:pPr>
        <w:numPr>
          <w:ilvl w:val="0"/>
          <w:numId w:val="3"/>
        </w:numPr>
        <w:spacing w:before="120"/>
        <w:rPr>
          <w:rFonts w:ascii="Arial" w:hAnsi="Arial" w:cs="Arial"/>
          <w:szCs w:val="24"/>
        </w:rPr>
      </w:pPr>
      <w:r w:rsidRPr="004E60DA">
        <w:rPr>
          <w:rFonts w:ascii="Arial" w:hAnsi="Arial" w:cs="Arial"/>
          <w:szCs w:val="24"/>
        </w:rPr>
        <w:t>The long-term position of the project in the market, including obsolescence and reputation</w:t>
      </w:r>
      <w:r w:rsidR="00E07936">
        <w:rPr>
          <w:rFonts w:ascii="Arial" w:hAnsi="Arial" w:cs="Arial"/>
          <w:szCs w:val="24"/>
        </w:rPr>
        <w:t>.</w:t>
      </w:r>
    </w:p>
    <w:p w14:paraId="7877A576" w14:textId="5B442AE4" w:rsidR="004E60DA" w:rsidRPr="004E60DA" w:rsidRDefault="004E60DA" w:rsidP="004E60DA">
      <w:pPr>
        <w:numPr>
          <w:ilvl w:val="0"/>
          <w:numId w:val="3"/>
        </w:numPr>
        <w:spacing w:before="120"/>
        <w:rPr>
          <w:rFonts w:ascii="Arial" w:hAnsi="Arial" w:cs="Arial"/>
          <w:szCs w:val="24"/>
        </w:rPr>
      </w:pPr>
      <w:r w:rsidRPr="004E60DA">
        <w:rPr>
          <w:rFonts w:ascii="Arial" w:hAnsi="Arial" w:cs="Arial"/>
          <w:szCs w:val="24"/>
        </w:rPr>
        <w:t> The occupancy census sensitivity and Medicaid census sensitivity</w:t>
      </w:r>
      <w:r w:rsidR="00E07936">
        <w:rPr>
          <w:rFonts w:ascii="Arial" w:hAnsi="Arial" w:cs="Arial"/>
          <w:szCs w:val="24"/>
        </w:rPr>
        <w:t>.</w:t>
      </w:r>
    </w:p>
    <w:p w14:paraId="21139821" w14:textId="0D486091" w:rsidR="004E60DA" w:rsidRDefault="004E60DA" w:rsidP="004E60DA">
      <w:pPr>
        <w:numPr>
          <w:ilvl w:val="0"/>
          <w:numId w:val="3"/>
        </w:numPr>
        <w:spacing w:before="120"/>
        <w:rPr>
          <w:rFonts w:ascii="Arial" w:hAnsi="Arial" w:cs="Arial"/>
          <w:szCs w:val="24"/>
        </w:rPr>
      </w:pPr>
      <w:r w:rsidRPr="004E60DA">
        <w:rPr>
          <w:rFonts w:ascii="Arial" w:hAnsi="Arial" w:cs="Arial"/>
          <w:szCs w:val="24"/>
        </w:rPr>
        <w:t>The percentage of residents who are aged under 62</w:t>
      </w:r>
      <w:r w:rsidR="00E07936">
        <w:rPr>
          <w:rFonts w:ascii="Arial" w:hAnsi="Arial" w:cs="Arial"/>
          <w:szCs w:val="24"/>
        </w:rPr>
        <w:t>.</w:t>
      </w:r>
    </w:p>
    <w:p w14:paraId="31700C76" w14:textId="77777777" w:rsidR="004E60DA" w:rsidRPr="004E60DA" w:rsidRDefault="004E60DA" w:rsidP="004E60DA">
      <w:pPr>
        <w:ind w:left="720"/>
        <w:rPr>
          <w:rFonts w:ascii="Arial" w:hAnsi="Arial" w:cs="Arial"/>
          <w:szCs w:val="24"/>
        </w:rPr>
      </w:pPr>
    </w:p>
    <w:p w14:paraId="07BFF200" w14:textId="5460642E" w:rsidR="004E60DA" w:rsidRPr="004E60DA" w:rsidRDefault="004E60DA" w:rsidP="004E60DA">
      <w:pPr>
        <w:rPr>
          <w:rFonts w:ascii="Arial" w:hAnsi="Arial" w:cs="Arial"/>
          <w:szCs w:val="24"/>
        </w:rPr>
      </w:pPr>
      <w:r w:rsidRPr="004E60DA">
        <w:rPr>
          <w:rFonts w:ascii="Arial" w:hAnsi="Arial" w:cs="Arial"/>
          <w:szCs w:val="24"/>
        </w:rPr>
        <w:t xml:space="preserve">The application should contain mitigants (e.g., low LTV, DSCR significantly exceeding program minimums) as needed to </w:t>
      </w:r>
      <w:r w:rsidR="00290021">
        <w:rPr>
          <w:rFonts w:ascii="Arial" w:hAnsi="Arial" w:cs="Arial"/>
          <w:szCs w:val="24"/>
        </w:rPr>
        <w:t>ensure</w:t>
      </w:r>
      <w:r w:rsidR="00290021" w:rsidRPr="004E60DA">
        <w:rPr>
          <w:rFonts w:ascii="Arial" w:hAnsi="Arial" w:cs="Arial"/>
          <w:szCs w:val="24"/>
        </w:rPr>
        <w:t xml:space="preserve"> </w:t>
      </w:r>
      <w:r w:rsidRPr="004E60DA">
        <w:rPr>
          <w:rFonts w:ascii="Arial" w:hAnsi="Arial" w:cs="Arial"/>
          <w:szCs w:val="24"/>
        </w:rPr>
        <w:t>that the facility can sustain the potential impact of this Massachusetts state initiative.</w:t>
      </w:r>
    </w:p>
    <w:p w14:paraId="58E5C65A" w14:textId="77777777" w:rsidR="004E60DA" w:rsidRDefault="004E60DA" w:rsidP="004E60DA">
      <w:pPr>
        <w:rPr>
          <w:rFonts w:ascii="Arial" w:hAnsi="Arial" w:cs="Arial"/>
          <w:szCs w:val="24"/>
        </w:rPr>
      </w:pPr>
    </w:p>
    <w:p w14:paraId="69B38C77" w14:textId="25235E4F" w:rsidR="004E60DA" w:rsidRPr="004E60DA" w:rsidRDefault="004E60DA" w:rsidP="004E60DA">
      <w:pPr>
        <w:rPr>
          <w:rFonts w:ascii="Arial" w:hAnsi="Arial" w:cs="Arial"/>
          <w:szCs w:val="24"/>
        </w:rPr>
      </w:pPr>
      <w:r w:rsidRPr="004E60DA">
        <w:rPr>
          <w:rFonts w:ascii="Arial" w:hAnsi="Arial" w:cs="Arial"/>
          <w:szCs w:val="24"/>
        </w:rPr>
        <w:t>Pointing to nursing home residents’ clinical eligibility for nursing facility services is an insufficient response, since such eligibility does not establish ineligibility for transitions to a community setting.  In fact, a condition for eligibility for a Home and Community Based Services (HCBS) Waivers under MassHealth programs is that the individual would meet the state’s eligibility requirements for services in an institutional setting.</w:t>
      </w:r>
    </w:p>
    <w:p w14:paraId="3AD8AAF5" w14:textId="77777777" w:rsidR="004E60DA" w:rsidRDefault="004E60DA" w:rsidP="004E60DA">
      <w:pPr>
        <w:rPr>
          <w:rFonts w:ascii="Arial" w:hAnsi="Arial" w:cs="Arial"/>
          <w:szCs w:val="24"/>
        </w:rPr>
      </w:pPr>
    </w:p>
    <w:p w14:paraId="2820A05A" w14:textId="63E09C4A" w:rsidR="004E60DA" w:rsidRDefault="004E60DA" w:rsidP="004E60DA">
      <w:pPr>
        <w:rPr>
          <w:rFonts w:ascii="Arial" w:hAnsi="Arial" w:cs="Arial"/>
          <w:szCs w:val="24"/>
        </w:rPr>
      </w:pPr>
      <w:r w:rsidRPr="004E60DA">
        <w:rPr>
          <w:rFonts w:ascii="Arial" w:hAnsi="Arial" w:cs="Arial"/>
          <w:szCs w:val="24"/>
        </w:rPr>
        <w:t>This anticipated analysis is not a new requirement but is an application of existing requirements to the actions being taken by the State of Massachusetts.  The analysis is part of the normal underwriting due diligence encompassed within the Lender Narrative (particularly the Key Questions contained therein) and Handbook 4232.1, Section II, Chapter 2.5.3 and Chapter 5.3.R.4.</w:t>
      </w:r>
    </w:p>
    <w:p w14:paraId="4395C62E" w14:textId="77777777" w:rsidR="004E60DA" w:rsidRPr="004E60DA" w:rsidRDefault="004E60DA" w:rsidP="004E60DA">
      <w:pPr>
        <w:rPr>
          <w:rFonts w:ascii="Arial" w:hAnsi="Arial" w:cs="Arial"/>
          <w:szCs w:val="24"/>
        </w:rPr>
      </w:pPr>
    </w:p>
    <w:p w14:paraId="06B45E7C" w14:textId="77777777" w:rsidR="004E60DA" w:rsidRPr="004E60DA" w:rsidRDefault="004E60DA" w:rsidP="004E60DA">
      <w:pPr>
        <w:rPr>
          <w:rFonts w:ascii="Arial" w:hAnsi="Arial" w:cs="Arial"/>
          <w:szCs w:val="24"/>
        </w:rPr>
      </w:pPr>
      <w:r w:rsidRPr="004E60DA">
        <w:rPr>
          <w:rFonts w:ascii="Arial" w:hAnsi="Arial" w:cs="Arial"/>
          <w:szCs w:val="24"/>
        </w:rPr>
        <w:t xml:space="preserve">Further information about the Massachusetts settlement is available at </w:t>
      </w:r>
      <w:hyperlink r:id="rId15" w:history="1">
        <w:r w:rsidRPr="004E60DA">
          <w:rPr>
            <w:rStyle w:val="Hyperlink"/>
            <w:rFonts w:ascii="Arial" w:hAnsi="Arial" w:cs="Arial"/>
            <w:szCs w:val="24"/>
          </w:rPr>
          <w:t>Marsters, et al v. Healey, et al – Center for Public Representation</w:t>
        </w:r>
      </w:hyperlink>
      <w:r w:rsidRPr="004E60DA">
        <w:rPr>
          <w:rFonts w:ascii="Arial" w:hAnsi="Arial" w:cs="Arial"/>
          <w:szCs w:val="24"/>
        </w:rPr>
        <w:t>.</w:t>
      </w:r>
    </w:p>
    <w:p w14:paraId="7A0B7385" w14:textId="77777777" w:rsidR="004E60DA" w:rsidRDefault="004E60DA" w:rsidP="004E60DA">
      <w:pPr>
        <w:rPr>
          <w:rFonts w:ascii="Arial" w:hAnsi="Arial" w:cs="Arial"/>
          <w:b/>
          <w:bCs/>
          <w:i/>
          <w:iCs/>
          <w:szCs w:val="24"/>
        </w:rPr>
      </w:pPr>
    </w:p>
    <w:p w14:paraId="509980F4" w14:textId="329ADC8A" w:rsidR="004E60DA" w:rsidRDefault="004E60DA" w:rsidP="004E60DA">
      <w:pPr>
        <w:rPr>
          <w:rFonts w:ascii="Arial" w:hAnsi="Arial" w:cs="Arial"/>
          <w:i/>
          <w:iCs/>
          <w:szCs w:val="24"/>
        </w:rPr>
      </w:pPr>
      <w:r w:rsidRPr="004E60DA">
        <w:rPr>
          <w:rFonts w:ascii="Arial" w:hAnsi="Arial" w:cs="Arial"/>
          <w:b/>
          <w:bCs/>
          <w:i/>
          <w:iCs/>
          <w:szCs w:val="24"/>
        </w:rPr>
        <w:t>Keywords:</w:t>
      </w:r>
      <w:r w:rsidRPr="004E60DA">
        <w:rPr>
          <w:rFonts w:ascii="Arial" w:hAnsi="Arial" w:cs="Arial"/>
          <w:i/>
          <w:iCs/>
          <w:szCs w:val="24"/>
        </w:rPr>
        <w:t xml:space="preserve"> State Risk, State Risk Summary Grid</w:t>
      </w:r>
    </w:p>
    <w:p w14:paraId="7FCECE55" w14:textId="77777777" w:rsidR="004E60DA" w:rsidRPr="00CF3068" w:rsidRDefault="004E60DA" w:rsidP="006D36F3">
      <w:pPr>
        <w:rPr>
          <w:rFonts w:ascii="Arial" w:hAnsi="Arial" w:cs="Arial"/>
          <w:i/>
          <w:iCs/>
          <w:szCs w:val="24"/>
        </w:rPr>
      </w:pPr>
    </w:p>
    <w:p w14:paraId="682647E3" w14:textId="77777777" w:rsidR="00B7164F" w:rsidRPr="00C1475A" w:rsidRDefault="00B7164F" w:rsidP="00B7164F">
      <w:pPr>
        <w:rPr>
          <w:rFonts w:ascii="Arial" w:hAnsi="Arial" w:cs="Arial"/>
          <w:b/>
          <w:color w:val="365F91" w:themeColor="accent1" w:themeShade="BF"/>
          <w:szCs w:val="24"/>
        </w:rPr>
      </w:pPr>
      <w:hyperlink w:anchor="_top" w:history="1">
        <w:r w:rsidRPr="00C1475A">
          <w:rPr>
            <w:rFonts w:ascii="Arial" w:hAnsi="Arial" w:cs="Arial"/>
            <w:color w:val="365F91" w:themeColor="accent1" w:themeShade="BF"/>
            <w:szCs w:val="24"/>
            <w:u w:val="single"/>
          </w:rPr>
          <w:t>Back to top</w:t>
        </w:r>
      </w:hyperlink>
    </w:p>
    <w:bookmarkEnd w:id="7"/>
    <w:p w14:paraId="6EE3B758" w14:textId="77777777" w:rsidR="003B1D3F" w:rsidRPr="00C1475A" w:rsidRDefault="003B1D3F" w:rsidP="00997C33">
      <w:pPr>
        <w:rPr>
          <w:rFonts w:ascii="Arial" w:hAnsi="Arial" w:cs="Arial"/>
          <w:szCs w:val="24"/>
        </w:rPr>
      </w:pPr>
    </w:p>
    <w:p w14:paraId="13EA495D" w14:textId="63B4D785" w:rsidR="00CF3068" w:rsidRPr="00CF3068" w:rsidRDefault="004E60DA" w:rsidP="008B18BB">
      <w:pPr>
        <w:pStyle w:val="EmailBlast"/>
        <w:rPr>
          <w:color w:val="000000"/>
        </w:rPr>
      </w:pPr>
      <w:bookmarkStart w:id="9" w:name="_Toc180398776"/>
      <w:bookmarkStart w:id="10" w:name="_Toc396209070"/>
      <w:bookmarkStart w:id="11" w:name="_Toc107392097"/>
      <w:r>
        <w:rPr>
          <w:szCs w:val="24"/>
        </w:rPr>
        <w:t>NSPIRE Technical Review Guidance and Step-By-Step Instructions on How To Submit Appeals and Close Out Deficiencies</w:t>
      </w:r>
      <w:bookmarkEnd w:id="9"/>
    </w:p>
    <w:p w14:paraId="7A445356" w14:textId="77777777" w:rsidR="004E60DA" w:rsidRPr="004E60DA" w:rsidRDefault="004E60DA" w:rsidP="004E60DA">
      <w:pPr>
        <w:rPr>
          <w:rFonts w:ascii="Arial" w:hAnsi="Arial" w:cs="Arial"/>
          <w:szCs w:val="24"/>
        </w:rPr>
      </w:pPr>
      <w:r w:rsidRPr="004E60DA">
        <w:rPr>
          <w:rFonts w:ascii="Arial" w:hAnsi="Arial" w:cs="Arial"/>
          <w:szCs w:val="24"/>
        </w:rPr>
        <w:t xml:space="preserve">HUD has received feedback that Property Owner/Agent (Borrowers/Operators) have been experiencing issues when submitting appeals in the NSPIRE IT system. To address this, HUD has made </w:t>
      </w:r>
      <w:hyperlink r:id="rId16" w:history="1">
        <w:r w:rsidRPr="004E60DA">
          <w:rPr>
            <w:rStyle w:val="Hyperlink"/>
            <w:rFonts w:ascii="Arial" w:hAnsi="Arial" w:cs="Arial"/>
            <w:szCs w:val="24"/>
          </w:rPr>
          <w:t>Technical Review Guidance</w:t>
        </w:r>
      </w:hyperlink>
      <w:r w:rsidRPr="004E60DA">
        <w:rPr>
          <w:rFonts w:ascii="Arial" w:hAnsi="Arial" w:cs="Arial"/>
          <w:szCs w:val="24"/>
        </w:rPr>
        <w:t xml:space="preserve"> available that provides a summary of the basis for technical review along with instructions for how to submit an appeal.</w:t>
      </w:r>
    </w:p>
    <w:p w14:paraId="2A3E00A1" w14:textId="77777777" w:rsidR="004E60DA" w:rsidRPr="004E60DA" w:rsidRDefault="004E60DA" w:rsidP="004E60DA">
      <w:pPr>
        <w:rPr>
          <w:rFonts w:ascii="Arial" w:hAnsi="Arial" w:cs="Arial"/>
          <w:szCs w:val="24"/>
        </w:rPr>
      </w:pPr>
      <w:r w:rsidRPr="004E60DA">
        <w:rPr>
          <w:rFonts w:ascii="Arial" w:hAnsi="Arial" w:cs="Arial"/>
          <w:szCs w:val="24"/>
        </w:rPr>
        <w:t> </w:t>
      </w:r>
    </w:p>
    <w:p w14:paraId="27AAFA08" w14:textId="32F4AA58" w:rsidR="004E60DA" w:rsidRPr="004E60DA" w:rsidRDefault="004E60DA" w:rsidP="004E60DA">
      <w:pPr>
        <w:rPr>
          <w:rFonts w:ascii="Arial" w:hAnsi="Arial" w:cs="Arial"/>
          <w:szCs w:val="24"/>
        </w:rPr>
      </w:pPr>
      <w:r w:rsidRPr="004E60DA">
        <w:rPr>
          <w:rFonts w:ascii="Arial" w:hAnsi="Arial" w:cs="Arial"/>
          <w:szCs w:val="24"/>
        </w:rPr>
        <w:t>As a reminder, if a Property Owner/Agent (Borrower/Operator) believes that a property's inspection results and score should be reviewed due to verifiable reasons, they may request a technical review. They should submit the request electronically through the NSPIRE system within 45 calendar days following the da</w:t>
      </w:r>
      <w:r w:rsidR="00E07936">
        <w:rPr>
          <w:rFonts w:ascii="Arial" w:hAnsi="Arial" w:cs="Arial"/>
          <w:szCs w:val="24"/>
        </w:rPr>
        <w:t>te by which</w:t>
      </w:r>
      <w:r w:rsidRPr="004E60DA">
        <w:rPr>
          <w:rFonts w:ascii="Arial" w:hAnsi="Arial" w:cs="Arial"/>
          <w:szCs w:val="24"/>
        </w:rPr>
        <w:t xml:space="preserve"> HUD provides the inspection report.</w:t>
      </w:r>
    </w:p>
    <w:p w14:paraId="6546BAB4" w14:textId="77777777" w:rsidR="004E60DA" w:rsidRPr="004E60DA" w:rsidRDefault="004E60DA" w:rsidP="004E60DA">
      <w:pPr>
        <w:rPr>
          <w:rFonts w:ascii="Arial" w:hAnsi="Arial" w:cs="Arial"/>
          <w:szCs w:val="24"/>
        </w:rPr>
      </w:pPr>
      <w:r w:rsidRPr="004E60DA">
        <w:rPr>
          <w:rFonts w:ascii="Arial" w:hAnsi="Arial" w:cs="Arial"/>
          <w:szCs w:val="24"/>
        </w:rPr>
        <w:t> </w:t>
      </w:r>
    </w:p>
    <w:p w14:paraId="65757543" w14:textId="77777777" w:rsidR="004E60DA" w:rsidRPr="004E60DA" w:rsidRDefault="004E60DA" w:rsidP="004E60DA">
      <w:pPr>
        <w:rPr>
          <w:rFonts w:ascii="Arial" w:hAnsi="Arial" w:cs="Arial"/>
          <w:szCs w:val="24"/>
        </w:rPr>
      </w:pPr>
      <w:r w:rsidRPr="004E60DA">
        <w:rPr>
          <w:rFonts w:ascii="Arial" w:hAnsi="Arial" w:cs="Arial"/>
          <w:szCs w:val="24"/>
        </w:rPr>
        <w:t>A request for a technical review must be accompanied by evidence supporting the claim. HUD recommends seeking a technical review only if the correction will result in a significant improvement in the overall score of the property, such as an increase to 60 or above or a change in the inspection frequency.</w:t>
      </w:r>
    </w:p>
    <w:p w14:paraId="66207E6D" w14:textId="77777777" w:rsidR="004E60DA" w:rsidRPr="004E60DA" w:rsidRDefault="004E60DA" w:rsidP="004E60DA">
      <w:pPr>
        <w:rPr>
          <w:rFonts w:ascii="Arial" w:hAnsi="Arial" w:cs="Arial"/>
          <w:szCs w:val="24"/>
        </w:rPr>
      </w:pPr>
      <w:r w:rsidRPr="004E60DA">
        <w:rPr>
          <w:rFonts w:ascii="Arial" w:hAnsi="Arial" w:cs="Arial"/>
          <w:szCs w:val="24"/>
        </w:rPr>
        <w:t> </w:t>
      </w:r>
    </w:p>
    <w:p w14:paraId="079F1BCE" w14:textId="77777777" w:rsidR="004E60DA" w:rsidRPr="004E60DA" w:rsidRDefault="004E60DA" w:rsidP="004E60DA">
      <w:pPr>
        <w:rPr>
          <w:rFonts w:ascii="Arial" w:hAnsi="Arial" w:cs="Arial"/>
          <w:szCs w:val="24"/>
        </w:rPr>
      </w:pPr>
      <w:r w:rsidRPr="004E60DA">
        <w:rPr>
          <w:rFonts w:ascii="Arial" w:hAnsi="Arial" w:cs="Arial"/>
          <w:szCs w:val="24"/>
        </w:rPr>
        <w:t xml:space="preserve">Additionally, there is updated guidance to Closing out the deficiencies on the </w:t>
      </w:r>
      <w:hyperlink r:id="rId17" w:history="1">
        <w:r w:rsidRPr="004E60DA">
          <w:rPr>
            <w:rStyle w:val="Hyperlink"/>
            <w:rFonts w:ascii="Arial" w:hAnsi="Arial" w:cs="Arial"/>
            <w:szCs w:val="24"/>
          </w:rPr>
          <w:t>NSPIRE Toolkit website</w:t>
        </w:r>
      </w:hyperlink>
      <w:r w:rsidRPr="004E60DA">
        <w:rPr>
          <w:rFonts w:ascii="Arial" w:hAnsi="Arial" w:cs="Arial"/>
          <w:szCs w:val="24"/>
        </w:rPr>
        <w:t xml:space="preserve">. </w:t>
      </w:r>
    </w:p>
    <w:p w14:paraId="7DFA5924" w14:textId="77777777" w:rsidR="004E60DA" w:rsidRPr="004E60DA" w:rsidRDefault="004E60DA" w:rsidP="004E60DA">
      <w:pPr>
        <w:rPr>
          <w:rFonts w:ascii="Arial" w:hAnsi="Arial" w:cs="Arial"/>
          <w:szCs w:val="24"/>
        </w:rPr>
      </w:pPr>
    </w:p>
    <w:p w14:paraId="083AB9D6" w14:textId="77777777" w:rsidR="004E60DA" w:rsidRPr="004E60DA" w:rsidRDefault="004E60DA" w:rsidP="004E60DA">
      <w:pPr>
        <w:rPr>
          <w:rFonts w:ascii="Arial" w:hAnsi="Arial" w:cs="Arial"/>
          <w:szCs w:val="24"/>
        </w:rPr>
      </w:pPr>
      <w:r w:rsidRPr="004E60DA">
        <w:rPr>
          <w:rFonts w:ascii="Arial" w:hAnsi="Arial" w:cs="Arial"/>
          <w:szCs w:val="24"/>
        </w:rPr>
        <w:t xml:space="preserve">Please email HUD at </w:t>
      </w:r>
      <w:hyperlink r:id="rId18" w:history="1">
        <w:r w:rsidRPr="004E60DA">
          <w:rPr>
            <w:rStyle w:val="Hyperlink"/>
            <w:rFonts w:ascii="Arial" w:hAnsi="Arial" w:cs="Arial"/>
            <w:szCs w:val="24"/>
          </w:rPr>
          <w:t>NSPIRE@hud.gov</w:t>
        </w:r>
      </w:hyperlink>
      <w:r w:rsidRPr="004E60DA">
        <w:rPr>
          <w:rFonts w:ascii="Arial" w:hAnsi="Arial" w:cs="Arial"/>
          <w:szCs w:val="24"/>
        </w:rPr>
        <w:t>, or call the Technical Assistance Center (TAC) at 1-888-245-4860, with any questions.</w:t>
      </w:r>
    </w:p>
    <w:p w14:paraId="758C5BEE" w14:textId="55887AFD" w:rsidR="004E60DA" w:rsidRPr="004E60DA" w:rsidRDefault="004E60DA" w:rsidP="004E60DA">
      <w:pPr>
        <w:rPr>
          <w:rFonts w:ascii="Arial" w:hAnsi="Arial" w:cs="Arial"/>
          <w:szCs w:val="24"/>
        </w:rPr>
      </w:pPr>
    </w:p>
    <w:p w14:paraId="24AFA7AF" w14:textId="4D4EA0CD" w:rsidR="004E60DA" w:rsidRPr="004E60DA" w:rsidRDefault="004E60DA" w:rsidP="004E60DA">
      <w:pPr>
        <w:rPr>
          <w:rFonts w:ascii="Arial" w:hAnsi="Arial" w:cs="Arial"/>
          <w:szCs w:val="24"/>
        </w:rPr>
      </w:pPr>
      <w:r w:rsidRPr="004E60DA">
        <w:rPr>
          <w:rFonts w:ascii="Arial" w:hAnsi="Arial" w:cs="Arial"/>
          <w:b/>
          <w:bCs/>
          <w:i/>
          <w:iCs/>
          <w:szCs w:val="24"/>
        </w:rPr>
        <w:t xml:space="preserve">Keywords: </w:t>
      </w:r>
      <w:r w:rsidRPr="004E60DA">
        <w:rPr>
          <w:rFonts w:ascii="Arial" w:hAnsi="Arial" w:cs="Arial"/>
          <w:i/>
          <w:iCs/>
          <w:szCs w:val="24"/>
        </w:rPr>
        <w:t>Asset Management, NSPIRE,</w:t>
      </w:r>
      <w:r w:rsidR="008F16E7">
        <w:rPr>
          <w:rFonts w:ascii="Arial" w:hAnsi="Arial" w:cs="Arial"/>
          <w:i/>
          <w:iCs/>
          <w:szCs w:val="24"/>
        </w:rPr>
        <w:t xml:space="preserve"> Physical</w:t>
      </w:r>
      <w:r w:rsidRPr="004E60DA">
        <w:rPr>
          <w:rFonts w:ascii="Arial" w:hAnsi="Arial" w:cs="Arial"/>
          <w:i/>
          <w:iCs/>
          <w:szCs w:val="24"/>
        </w:rPr>
        <w:t xml:space="preserve"> Inspections (REAC)</w:t>
      </w:r>
    </w:p>
    <w:p w14:paraId="6264D2C1" w14:textId="77777777" w:rsidR="004E60DA" w:rsidRPr="00CF3068" w:rsidRDefault="004E60DA" w:rsidP="00CF3068">
      <w:pPr>
        <w:rPr>
          <w:rFonts w:ascii="Arial" w:hAnsi="Arial" w:cs="Arial"/>
          <w:i/>
          <w:iCs/>
          <w:szCs w:val="24"/>
        </w:rPr>
      </w:pPr>
    </w:p>
    <w:p w14:paraId="02A777D9" w14:textId="77777777" w:rsidR="007E03EA" w:rsidRDefault="007E03EA" w:rsidP="007E03EA">
      <w:pPr>
        <w:rPr>
          <w:rFonts w:ascii="Arial" w:hAnsi="Arial" w:cs="Arial"/>
          <w:color w:val="365F91" w:themeColor="accent1" w:themeShade="BF"/>
          <w:szCs w:val="24"/>
          <w:u w:val="single"/>
        </w:rPr>
      </w:pPr>
      <w:hyperlink w:anchor="_top" w:history="1">
        <w:r w:rsidRPr="00C1475A">
          <w:rPr>
            <w:rFonts w:ascii="Arial" w:hAnsi="Arial" w:cs="Arial"/>
            <w:color w:val="365F91" w:themeColor="accent1" w:themeShade="BF"/>
            <w:szCs w:val="24"/>
            <w:u w:val="single"/>
          </w:rPr>
          <w:t>Back to top</w:t>
        </w:r>
      </w:hyperlink>
    </w:p>
    <w:p w14:paraId="457E992A" w14:textId="77777777" w:rsidR="00FB1B77" w:rsidRPr="00C1475A" w:rsidRDefault="00FB1B77" w:rsidP="009B019E">
      <w:pPr>
        <w:rPr>
          <w:rFonts w:ascii="Arial" w:hAnsi="Arial" w:cs="Arial"/>
          <w:szCs w:val="24"/>
        </w:rPr>
      </w:pPr>
    </w:p>
    <w:p w14:paraId="1BCAC01B" w14:textId="7302D64E" w:rsidR="001B51BC" w:rsidRPr="001B51BC" w:rsidRDefault="001B51BC" w:rsidP="001B51BC">
      <w:pPr>
        <w:pStyle w:val="EmailBlast"/>
        <w:rPr>
          <w:sz w:val="24"/>
          <w:szCs w:val="24"/>
        </w:rPr>
      </w:pPr>
      <w:bookmarkStart w:id="12" w:name="_Toc180398777"/>
      <w:r>
        <w:rPr>
          <w:szCs w:val="24"/>
        </w:rPr>
        <w:t>Up</w:t>
      </w:r>
      <w:r w:rsidR="006F53E7">
        <w:rPr>
          <w:szCs w:val="24"/>
        </w:rPr>
        <w:t>d</w:t>
      </w:r>
      <w:r>
        <w:rPr>
          <w:szCs w:val="24"/>
        </w:rPr>
        <w:t>ated Lender Guidance for 10-Year Project Capital Needs Assesment Submissions</w:t>
      </w:r>
      <w:bookmarkEnd w:id="12"/>
    </w:p>
    <w:p w14:paraId="4C3898AF" w14:textId="77777777" w:rsidR="001B51BC" w:rsidRPr="001B51BC" w:rsidRDefault="001B51BC" w:rsidP="001B51BC">
      <w:pPr>
        <w:rPr>
          <w:rFonts w:ascii="Arial" w:hAnsi="Arial" w:cs="Arial"/>
          <w:szCs w:val="24"/>
        </w:rPr>
      </w:pPr>
      <w:r w:rsidRPr="001B51BC">
        <w:rPr>
          <w:rFonts w:ascii="Arial" w:hAnsi="Arial" w:cs="Arial"/>
          <w:szCs w:val="24"/>
        </w:rPr>
        <w:t xml:space="preserve">In its ongoing asset management role, the lender concerns itself with many facets of a project including its physical condition.  One tool that the lender must obtain, analyze and utilize in that respect is the Physical Condition and Needs Assessment (PCNA).  As 232 Lenders are aware, the PCNA is to ensure the long-term viability of the project, in part by ensuring the proper deposit to the Reserve for Replacement for Capital Items and Major Moveable Equipment.  </w:t>
      </w:r>
    </w:p>
    <w:p w14:paraId="3246595A" w14:textId="77777777" w:rsidR="001B51BC" w:rsidRPr="001B51BC" w:rsidRDefault="001B51BC" w:rsidP="001B51BC">
      <w:pPr>
        <w:rPr>
          <w:rFonts w:ascii="Arial" w:hAnsi="Arial" w:cs="Arial"/>
          <w:szCs w:val="24"/>
        </w:rPr>
      </w:pPr>
    </w:p>
    <w:p w14:paraId="4FDE9B20" w14:textId="5CFE97D6" w:rsidR="001B51BC" w:rsidRPr="001B51BC" w:rsidRDefault="001B51BC" w:rsidP="001B51BC">
      <w:pPr>
        <w:rPr>
          <w:rFonts w:ascii="Arial" w:hAnsi="Arial" w:cs="Arial"/>
          <w:szCs w:val="24"/>
        </w:rPr>
      </w:pPr>
      <w:r w:rsidRPr="001B51BC">
        <w:rPr>
          <w:rFonts w:ascii="Arial" w:hAnsi="Arial" w:cs="Arial"/>
          <w:szCs w:val="24"/>
        </w:rPr>
        <w:t xml:space="preserve">Every ten years, the lender must obtain and submit to ORCF a PCNA, including the lender’s analysis. To assist lenders in doing this, </w:t>
      </w:r>
      <w:r w:rsidR="00BD67E7">
        <w:rPr>
          <w:rFonts w:ascii="Arial" w:hAnsi="Arial" w:cs="Arial"/>
          <w:szCs w:val="24"/>
        </w:rPr>
        <w:t>Asset Management anticipates posting in November</w:t>
      </w:r>
      <w:r w:rsidRPr="001B51BC">
        <w:rPr>
          <w:rFonts w:ascii="Arial" w:hAnsi="Arial" w:cs="Arial"/>
          <w:szCs w:val="24"/>
        </w:rPr>
        <w:t xml:space="preserve"> on our Section 232 website </w:t>
      </w:r>
      <w:hyperlink r:id="rId19" w:history="1">
        <w:r w:rsidRPr="001B51BC">
          <w:rPr>
            <w:rStyle w:val="Hyperlink"/>
            <w:rFonts w:ascii="Arial" w:hAnsi="Arial" w:cs="Arial"/>
            <w:szCs w:val="24"/>
          </w:rPr>
          <w:t>here</w:t>
        </w:r>
      </w:hyperlink>
      <w:r w:rsidRPr="001B51BC">
        <w:rPr>
          <w:rFonts w:ascii="Arial" w:hAnsi="Arial" w:cs="Arial"/>
          <w:szCs w:val="24"/>
        </w:rPr>
        <w:t xml:space="preserve"> a 10-Year PCNA checklist with items to consider when submitting the PCNA and analysis.  </w:t>
      </w:r>
    </w:p>
    <w:p w14:paraId="29F1F4C4" w14:textId="77777777" w:rsidR="001B51BC" w:rsidRPr="001B51BC" w:rsidRDefault="001B51BC" w:rsidP="001B51BC">
      <w:pPr>
        <w:rPr>
          <w:rFonts w:ascii="Arial" w:hAnsi="Arial" w:cs="Arial"/>
          <w:szCs w:val="24"/>
        </w:rPr>
      </w:pPr>
    </w:p>
    <w:p w14:paraId="4247CA63" w14:textId="3A4A3823" w:rsidR="001B51BC" w:rsidRPr="001B51BC" w:rsidRDefault="001B51BC" w:rsidP="001B51BC">
      <w:pPr>
        <w:rPr>
          <w:rFonts w:ascii="Arial" w:hAnsi="Arial" w:cs="Arial"/>
          <w:szCs w:val="24"/>
        </w:rPr>
      </w:pPr>
      <w:r w:rsidRPr="001B51BC">
        <w:rPr>
          <w:rFonts w:ascii="Arial" w:hAnsi="Arial" w:cs="Arial"/>
          <w:szCs w:val="24"/>
        </w:rPr>
        <w:t>A thorough lender’s PCNA analysis will address in detail the following:</w:t>
      </w:r>
    </w:p>
    <w:p w14:paraId="572C00DE" w14:textId="77777777" w:rsidR="001B51BC" w:rsidRPr="001B51BC" w:rsidRDefault="001B51BC" w:rsidP="001B51BC">
      <w:pPr>
        <w:rPr>
          <w:rFonts w:ascii="Arial" w:hAnsi="Arial" w:cs="Arial"/>
          <w:szCs w:val="24"/>
        </w:rPr>
      </w:pPr>
    </w:p>
    <w:p w14:paraId="4E2A3ABC" w14:textId="77777777" w:rsidR="001B51BC" w:rsidRPr="001B51BC" w:rsidRDefault="001B51BC" w:rsidP="001B51BC">
      <w:pPr>
        <w:numPr>
          <w:ilvl w:val="1"/>
          <w:numId w:val="4"/>
        </w:numPr>
        <w:rPr>
          <w:rFonts w:ascii="Arial" w:hAnsi="Arial" w:cs="Arial"/>
          <w:szCs w:val="24"/>
        </w:rPr>
      </w:pPr>
      <w:r w:rsidRPr="001B51BC">
        <w:rPr>
          <w:rFonts w:ascii="Arial" w:hAnsi="Arial" w:cs="Arial"/>
          <w:szCs w:val="24"/>
        </w:rPr>
        <w:t>Adequacy of 10-year Reserve Schedule</w:t>
      </w:r>
    </w:p>
    <w:p w14:paraId="451C2253" w14:textId="77777777" w:rsidR="001B51BC" w:rsidRPr="001B51BC" w:rsidRDefault="001B51BC" w:rsidP="001B51BC">
      <w:pPr>
        <w:numPr>
          <w:ilvl w:val="1"/>
          <w:numId w:val="4"/>
        </w:numPr>
        <w:rPr>
          <w:rFonts w:ascii="Arial" w:hAnsi="Arial" w:cs="Arial"/>
          <w:szCs w:val="24"/>
        </w:rPr>
      </w:pPr>
      <w:r w:rsidRPr="001B51BC">
        <w:rPr>
          <w:rFonts w:ascii="Arial" w:hAnsi="Arial" w:cs="Arial"/>
          <w:szCs w:val="24"/>
        </w:rPr>
        <w:t>Proposed change to R4R amount</w:t>
      </w:r>
    </w:p>
    <w:p w14:paraId="635DB6CC" w14:textId="77777777" w:rsidR="001B51BC" w:rsidRPr="001B51BC" w:rsidRDefault="001B51BC" w:rsidP="001B51BC">
      <w:pPr>
        <w:numPr>
          <w:ilvl w:val="1"/>
          <w:numId w:val="4"/>
        </w:numPr>
        <w:rPr>
          <w:rFonts w:ascii="Arial" w:hAnsi="Arial" w:cs="Arial"/>
          <w:szCs w:val="24"/>
        </w:rPr>
      </w:pPr>
      <w:r w:rsidRPr="001B51BC">
        <w:rPr>
          <w:rFonts w:ascii="Arial" w:hAnsi="Arial" w:cs="Arial"/>
          <w:szCs w:val="24"/>
        </w:rPr>
        <w:t>ADA compliance</w:t>
      </w:r>
    </w:p>
    <w:p w14:paraId="1D3A987D" w14:textId="77777777" w:rsidR="001B51BC" w:rsidRPr="001B51BC" w:rsidRDefault="001B51BC" w:rsidP="001B51BC">
      <w:pPr>
        <w:numPr>
          <w:ilvl w:val="1"/>
          <w:numId w:val="4"/>
        </w:numPr>
        <w:rPr>
          <w:rFonts w:ascii="Arial" w:hAnsi="Arial" w:cs="Arial"/>
          <w:szCs w:val="24"/>
        </w:rPr>
      </w:pPr>
      <w:r w:rsidRPr="001B51BC">
        <w:rPr>
          <w:rFonts w:ascii="Arial" w:hAnsi="Arial" w:cs="Arial"/>
          <w:szCs w:val="24"/>
        </w:rPr>
        <w:t>Status of Critical Repair/Non-Critical Repairs, including</w:t>
      </w:r>
    </w:p>
    <w:p w14:paraId="6BF8A7DC" w14:textId="77777777" w:rsidR="001B51BC" w:rsidRPr="001B51BC" w:rsidRDefault="001B51BC" w:rsidP="001B51BC">
      <w:pPr>
        <w:numPr>
          <w:ilvl w:val="2"/>
          <w:numId w:val="4"/>
        </w:numPr>
        <w:rPr>
          <w:rFonts w:ascii="Arial" w:hAnsi="Arial" w:cs="Arial"/>
          <w:szCs w:val="24"/>
        </w:rPr>
      </w:pPr>
      <w:r w:rsidRPr="001B51BC">
        <w:rPr>
          <w:rFonts w:ascii="Arial" w:hAnsi="Arial" w:cs="Arial"/>
          <w:szCs w:val="24"/>
        </w:rPr>
        <w:t xml:space="preserve">Confirmation documentation as to repairs completed, and </w:t>
      </w:r>
    </w:p>
    <w:p w14:paraId="3D4C8275" w14:textId="77777777" w:rsidR="001B51BC" w:rsidRPr="001B51BC" w:rsidRDefault="001B51BC" w:rsidP="001B51BC">
      <w:pPr>
        <w:numPr>
          <w:ilvl w:val="2"/>
          <w:numId w:val="4"/>
        </w:numPr>
        <w:rPr>
          <w:rFonts w:ascii="Arial" w:hAnsi="Arial" w:cs="Arial"/>
          <w:szCs w:val="24"/>
        </w:rPr>
      </w:pPr>
      <w:r w:rsidRPr="001B51BC">
        <w:rPr>
          <w:rFonts w:ascii="Arial" w:hAnsi="Arial" w:cs="Arial"/>
          <w:szCs w:val="24"/>
        </w:rPr>
        <w:t xml:space="preserve">A plan, including </w:t>
      </w:r>
      <w:proofErr w:type="gramStart"/>
      <w:r w:rsidRPr="001B51BC">
        <w:rPr>
          <w:rFonts w:ascii="Arial" w:hAnsi="Arial" w:cs="Arial"/>
          <w:szCs w:val="24"/>
        </w:rPr>
        <w:t>timeline</w:t>
      </w:r>
      <w:proofErr w:type="gramEnd"/>
      <w:r w:rsidRPr="001B51BC">
        <w:rPr>
          <w:rFonts w:ascii="Arial" w:hAnsi="Arial" w:cs="Arial"/>
          <w:szCs w:val="24"/>
        </w:rPr>
        <w:t>, for the uncompleted repairs</w:t>
      </w:r>
    </w:p>
    <w:p w14:paraId="3B358CC2" w14:textId="77777777" w:rsidR="001B51BC" w:rsidRPr="001B51BC" w:rsidRDefault="001B51BC" w:rsidP="001B51BC">
      <w:pPr>
        <w:rPr>
          <w:rFonts w:ascii="Arial" w:hAnsi="Arial" w:cs="Arial"/>
          <w:szCs w:val="24"/>
        </w:rPr>
      </w:pPr>
    </w:p>
    <w:p w14:paraId="1065C88B" w14:textId="77777777" w:rsidR="001B51BC" w:rsidRDefault="001B51BC" w:rsidP="001B51BC">
      <w:pPr>
        <w:rPr>
          <w:rFonts w:ascii="Arial" w:hAnsi="Arial" w:cs="Arial"/>
          <w:szCs w:val="24"/>
        </w:rPr>
      </w:pPr>
      <w:r w:rsidRPr="001B51BC">
        <w:rPr>
          <w:rFonts w:ascii="Arial" w:hAnsi="Arial" w:cs="Arial"/>
          <w:szCs w:val="24"/>
        </w:rPr>
        <w:t>In the event the lender includes a HUD 9250 requesting to decrease the R4R deposit, the request must include a detailed analysis and justification.</w:t>
      </w:r>
    </w:p>
    <w:p w14:paraId="2A83AAA6" w14:textId="77777777" w:rsidR="001B51BC" w:rsidRPr="001B51BC" w:rsidRDefault="001B51BC" w:rsidP="001B51BC">
      <w:pPr>
        <w:rPr>
          <w:rFonts w:ascii="Arial" w:hAnsi="Arial" w:cs="Arial"/>
          <w:szCs w:val="24"/>
        </w:rPr>
      </w:pPr>
    </w:p>
    <w:p w14:paraId="2BCB3CB6" w14:textId="77777777" w:rsidR="001B51BC" w:rsidRPr="001B51BC" w:rsidRDefault="001B51BC" w:rsidP="001B51BC">
      <w:pPr>
        <w:rPr>
          <w:rFonts w:ascii="Arial" w:hAnsi="Arial" w:cs="Arial"/>
          <w:szCs w:val="24"/>
        </w:rPr>
      </w:pPr>
      <w:r w:rsidRPr="001B51BC">
        <w:rPr>
          <w:rFonts w:ascii="Arial" w:hAnsi="Arial" w:cs="Arial"/>
          <w:b/>
          <w:bCs/>
          <w:i/>
          <w:iCs/>
          <w:szCs w:val="24"/>
        </w:rPr>
        <w:t>Keywords:</w:t>
      </w:r>
      <w:r w:rsidRPr="001B51BC">
        <w:rPr>
          <w:rFonts w:ascii="Arial" w:hAnsi="Arial" w:cs="Arial"/>
          <w:i/>
          <w:iCs/>
          <w:szCs w:val="24"/>
        </w:rPr>
        <w:t xml:space="preserve"> PCNA</w:t>
      </w:r>
    </w:p>
    <w:p w14:paraId="32DFEE94" w14:textId="77777777" w:rsidR="00FB1B77" w:rsidRPr="00CF3068" w:rsidRDefault="00FB1B77" w:rsidP="009B019E">
      <w:pPr>
        <w:rPr>
          <w:rFonts w:ascii="Arial" w:hAnsi="Arial" w:cs="Arial"/>
          <w:i/>
          <w:iCs/>
          <w:szCs w:val="24"/>
        </w:rPr>
      </w:pPr>
    </w:p>
    <w:bookmarkStart w:id="13" w:name="_Hlk158756843"/>
    <w:p w14:paraId="7C69B503" w14:textId="77777777" w:rsidR="003279F8" w:rsidRDefault="00C714D6" w:rsidP="003279F8">
      <w:pPr>
        <w:rPr>
          <w:rFonts w:ascii="Arial" w:hAnsi="Arial" w:cs="Arial"/>
          <w:color w:val="365F91" w:themeColor="accent1" w:themeShade="BF"/>
          <w:szCs w:val="24"/>
          <w:u w:val="single"/>
        </w:rPr>
      </w:pPr>
      <w:r>
        <w:fldChar w:fldCharType="begin"/>
      </w:r>
      <w:r>
        <w:instrText>HYPERLINK \l "_top"</w:instrText>
      </w:r>
      <w:r>
        <w:fldChar w:fldCharType="separate"/>
      </w:r>
      <w:r w:rsidR="003279F8" w:rsidRPr="00C1475A">
        <w:rPr>
          <w:rFonts w:ascii="Arial" w:hAnsi="Arial" w:cs="Arial"/>
          <w:color w:val="365F91" w:themeColor="accent1" w:themeShade="BF"/>
          <w:szCs w:val="24"/>
          <w:u w:val="single"/>
        </w:rPr>
        <w:t>Back to top</w:t>
      </w:r>
      <w:r>
        <w:rPr>
          <w:rFonts w:ascii="Arial" w:hAnsi="Arial" w:cs="Arial"/>
          <w:color w:val="365F91" w:themeColor="accent1" w:themeShade="BF"/>
          <w:szCs w:val="24"/>
          <w:u w:val="single"/>
        </w:rPr>
        <w:fldChar w:fldCharType="end"/>
      </w:r>
    </w:p>
    <w:bookmarkEnd w:id="13"/>
    <w:p w14:paraId="507781EE" w14:textId="77777777" w:rsidR="003279F8" w:rsidRPr="009C5B15" w:rsidRDefault="003279F8" w:rsidP="009B019E">
      <w:pPr>
        <w:rPr>
          <w:rFonts w:ascii="Arial" w:eastAsia="MS Mincho" w:hAnsi="Arial" w:cs="Arial"/>
          <w:b/>
          <w:i/>
          <w:iCs/>
          <w:szCs w:val="24"/>
        </w:rPr>
      </w:pPr>
    </w:p>
    <w:bookmarkEnd w:id="0"/>
    <w:bookmarkEnd w:id="10"/>
    <w:bookmarkEnd w:id="11"/>
    <w:p w14:paraId="7F5F0FD1" w14:textId="1714B8FC" w:rsidR="00740D11" w:rsidRPr="00C1475A" w:rsidRDefault="008D40DE" w:rsidP="00740D11">
      <w:pPr>
        <w:rPr>
          <w:rFonts w:ascii="Arial" w:eastAsia="MS Mincho" w:hAnsi="Arial" w:cs="Arial"/>
          <w:b/>
          <w:szCs w:val="24"/>
        </w:rPr>
      </w:pPr>
      <w:r w:rsidRPr="00C1475A">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36DD8"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rsidRPr="00C1475A"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Pr="00C1475A" w:rsidRDefault="00E5678B" w:rsidP="00094BC8">
            <w:pPr>
              <w:pStyle w:val="NormalWeb"/>
              <w:spacing w:before="120"/>
              <w:jc w:val="center"/>
              <w:rPr>
                <w:rFonts w:ascii="Calibri" w:hAnsi="Calibri"/>
              </w:rPr>
            </w:pPr>
            <w:r w:rsidRPr="00C1475A">
              <w:rPr>
                <w:rFonts w:ascii="Arial" w:hAnsi="Arial" w:cs="Arial"/>
              </w:rPr>
              <w:t xml:space="preserve">Past Lean 232 Updates are </w:t>
            </w:r>
            <w:hyperlink r:id="rId20" w:tgtFrame="_blank" w:history="1">
              <w:r w:rsidRPr="00C1475A">
                <w:rPr>
                  <w:rStyle w:val="Hyperlink"/>
                  <w:rFonts w:ascii="Arial" w:hAnsi="Arial" w:cs="Arial"/>
                </w:rPr>
                <w:t>available online</w:t>
              </w:r>
            </w:hyperlink>
            <w:r w:rsidRPr="00C1475A">
              <w:rPr>
                <w:rFonts w:ascii="Arial" w:hAnsi="Arial" w:cs="Arial"/>
              </w:rPr>
              <w:t>.</w:t>
            </w:r>
          </w:p>
          <w:p w14:paraId="45BEC197" w14:textId="77777777" w:rsidR="00E5678B" w:rsidRPr="00C1475A" w:rsidRDefault="00E5678B" w:rsidP="00094BC8">
            <w:pPr>
              <w:pStyle w:val="NormalWeb"/>
              <w:spacing w:before="120"/>
              <w:jc w:val="center"/>
            </w:pPr>
            <w:r w:rsidRPr="00C1475A">
              <w:rPr>
                <w:rFonts w:ascii="Arial" w:hAnsi="Arial" w:cs="Arial"/>
              </w:rPr>
              <w:t xml:space="preserve">Have questions about the Lean 232 Program? Please contact </w:t>
            </w:r>
            <w:hyperlink r:id="rId21" w:history="1">
              <w:r w:rsidRPr="00C1475A">
                <w:rPr>
                  <w:rStyle w:val="Hyperlink"/>
                  <w:rFonts w:ascii="Arial" w:hAnsi="Arial" w:cs="Arial"/>
                </w:rPr>
                <w:t>LeanThinking@hud.gov</w:t>
              </w:r>
            </w:hyperlink>
            <w:r w:rsidRPr="00C1475A">
              <w:rPr>
                <w:rFonts w:ascii="Arial" w:hAnsi="Arial" w:cs="Arial"/>
              </w:rPr>
              <w:t>.</w:t>
            </w:r>
          </w:p>
          <w:p w14:paraId="4215A7BB" w14:textId="77777777" w:rsidR="00E5678B" w:rsidRPr="00C1475A" w:rsidRDefault="00E5678B" w:rsidP="00094BC8">
            <w:pPr>
              <w:pStyle w:val="NormalWeb"/>
              <w:spacing w:before="120"/>
              <w:jc w:val="center"/>
            </w:pPr>
            <w:r w:rsidRPr="00C1475A">
              <w:rPr>
                <w:rFonts w:ascii="Arial" w:hAnsi="Arial" w:cs="Arial"/>
              </w:rPr>
              <w:t xml:space="preserve">For more information on the Lean 232 Program, check out: </w:t>
            </w:r>
            <w:hyperlink r:id="rId22" w:history="1">
              <w:r w:rsidRPr="00C1475A">
                <w:rPr>
                  <w:rStyle w:val="Hyperlink"/>
                  <w:rFonts w:ascii="Arial" w:hAnsi="Arial" w:cs="Arial"/>
                </w:rPr>
                <w:t>http://www.hud.gov/healthcare</w:t>
              </w:r>
            </w:hyperlink>
            <w:r w:rsidRPr="00C1475A">
              <w:rPr>
                <w:rFonts w:ascii="Arial" w:hAnsi="Arial" w:cs="Arial"/>
              </w:rPr>
              <w:t>.</w:t>
            </w:r>
          </w:p>
          <w:p w14:paraId="53D07DA9" w14:textId="77777777" w:rsidR="00E5678B" w:rsidRPr="00C1475A" w:rsidRDefault="00E5678B" w:rsidP="00094BC8">
            <w:pPr>
              <w:pStyle w:val="NormalWeb"/>
              <w:jc w:val="center"/>
            </w:pPr>
            <w:r w:rsidRPr="00C1475A">
              <w:t> </w:t>
            </w:r>
          </w:p>
          <w:p w14:paraId="0071963D" w14:textId="77777777" w:rsidR="00E5678B" w:rsidRPr="00C1475A" w:rsidRDefault="00E5678B" w:rsidP="00094BC8">
            <w:pPr>
              <w:pStyle w:val="NormalWeb"/>
              <w:jc w:val="center"/>
            </w:pPr>
            <w:r w:rsidRPr="00C1475A">
              <w:rPr>
                <w:rFonts w:ascii="Arial" w:hAnsi="Arial" w:cs="Arial"/>
              </w:rPr>
              <w:t>Stay Connected with the Office of Housing and the Federal Housing Administration:</w:t>
            </w:r>
          </w:p>
        </w:tc>
      </w:tr>
      <w:tr w:rsidR="00E5678B" w:rsidRPr="00C1475A"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Pr="00C1475A" w:rsidRDefault="00E5678B" w:rsidP="00094BC8">
            <w:pPr>
              <w:jc w:val="center"/>
              <w:rPr>
                <w:rFonts w:eastAsia="Times New Roman"/>
                <w:szCs w:val="24"/>
              </w:rPr>
            </w:pPr>
            <w:r w:rsidRPr="00C1475A">
              <w:rPr>
                <w:rFonts w:ascii="Arial" w:eastAsia="Times New Roman" w:hAnsi="Arial" w:cs="Arial"/>
                <w:noProof/>
                <w:color w:val="0000FF"/>
                <w:szCs w:val="24"/>
              </w:rPr>
              <w:drawing>
                <wp:inline distT="0" distB="0" distL="0" distR="0" wp14:anchorId="61465648" wp14:editId="6268FF5E">
                  <wp:extent cx="304800" cy="304800"/>
                  <wp:effectExtent l="0" t="0" r="0" b="0"/>
                  <wp:docPr id="4" name="Picture 4"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1475A">
              <w:rPr>
                <w:rFonts w:ascii="Arial" w:eastAsia="Times New Roman" w:hAnsi="Arial" w:cs="Arial"/>
                <w:szCs w:val="24"/>
              </w:rPr>
              <w:t>  </w:t>
            </w:r>
            <w:r w:rsidRPr="00C1475A">
              <w:rPr>
                <w:rFonts w:ascii="Arial" w:eastAsia="Times New Roman" w:hAnsi="Arial" w:cs="Arial"/>
                <w:noProof/>
                <w:color w:val="0000FF"/>
                <w:szCs w:val="24"/>
              </w:rPr>
              <w:drawing>
                <wp:inline distT="0" distB="0" distL="0" distR="0" wp14:anchorId="7119929C" wp14:editId="7D1A663A">
                  <wp:extent cx="304800" cy="304800"/>
                  <wp:effectExtent l="0" t="0" r="0" b="0"/>
                  <wp:docPr id="5" name="Picture 5" descr="LinkedI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1475A">
              <w:rPr>
                <w:rFonts w:ascii="Arial" w:eastAsia="Times New Roman" w:hAnsi="Arial" w:cs="Arial"/>
                <w:szCs w:val="24"/>
              </w:rPr>
              <w:t> </w:t>
            </w:r>
          </w:p>
        </w:tc>
      </w:tr>
      <w:tr w:rsidR="00E5678B" w:rsidRPr="00C1475A"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Pr="00C1475A" w:rsidRDefault="00E5678B" w:rsidP="00094BC8">
            <w:pPr>
              <w:jc w:val="center"/>
              <w:rPr>
                <w:rFonts w:ascii="Arial" w:eastAsia="Times New Roman" w:hAnsi="Arial" w:cs="Arial"/>
                <w:szCs w:val="24"/>
              </w:rPr>
            </w:pPr>
            <w:r w:rsidRPr="00C1475A">
              <w:rPr>
                <w:rFonts w:ascii="Arial" w:eastAsia="Times New Roman" w:hAnsi="Arial" w:cs="Arial"/>
                <w:szCs w:val="24"/>
              </w:rPr>
              <w:t>SUBSCRIBER SERVICES:</w:t>
            </w:r>
            <w:r w:rsidRPr="00C1475A">
              <w:rPr>
                <w:rFonts w:ascii="Arial" w:eastAsia="Times New Roman" w:hAnsi="Arial" w:cs="Arial"/>
                <w:szCs w:val="24"/>
              </w:rPr>
              <w:br/>
            </w:r>
            <w:hyperlink r:id="rId27" w:tooltip="Manage Subscriptions" w:history="1">
              <w:r w:rsidRPr="00C1475A">
                <w:rPr>
                  <w:rStyle w:val="Hyperlink"/>
                  <w:rFonts w:ascii="Arial" w:eastAsia="Times New Roman" w:hAnsi="Arial" w:cs="Arial"/>
                  <w:szCs w:val="24"/>
                </w:rPr>
                <w:t>Manage Subscriptions</w:t>
              </w:r>
            </w:hyperlink>
            <w:r w:rsidRPr="00C1475A">
              <w:rPr>
                <w:rFonts w:ascii="Arial" w:eastAsia="Times New Roman" w:hAnsi="Arial" w:cs="Arial"/>
                <w:szCs w:val="24"/>
              </w:rPr>
              <w:t xml:space="preserve">  |  </w:t>
            </w:r>
            <w:hyperlink r:id="rId28" w:history="1">
              <w:r w:rsidRPr="00C1475A">
                <w:rPr>
                  <w:rStyle w:val="Hyperlink"/>
                  <w:rFonts w:ascii="Arial" w:eastAsia="Times New Roman" w:hAnsi="Arial" w:cs="Arial"/>
                  <w:szCs w:val="24"/>
                </w:rPr>
                <w:t>Help</w:t>
              </w:r>
            </w:hyperlink>
            <w:r w:rsidRPr="00C1475A">
              <w:rPr>
                <w:rFonts w:ascii="Arial" w:eastAsia="Times New Roman" w:hAnsi="Arial" w:cs="Arial"/>
                <w:szCs w:val="24"/>
              </w:rPr>
              <w:t xml:space="preserve"> </w:t>
            </w:r>
          </w:p>
        </w:tc>
      </w:tr>
    </w:tbl>
    <w:p w14:paraId="6E0E606B" w14:textId="2AA10C3B" w:rsidR="00605E4A" w:rsidRPr="00C1475A" w:rsidRDefault="00605E4A" w:rsidP="00740D11">
      <w:pPr>
        <w:rPr>
          <w:szCs w:val="24"/>
        </w:rPr>
      </w:pPr>
    </w:p>
    <w:sectPr w:rsidR="00605E4A" w:rsidRPr="00C1475A" w:rsidSect="006429E6">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D39B3" w14:textId="77777777" w:rsidR="00D6266B" w:rsidRDefault="00D6266B" w:rsidP="00E724F7">
      <w:r>
        <w:separator/>
      </w:r>
    </w:p>
  </w:endnote>
  <w:endnote w:type="continuationSeparator" w:id="0">
    <w:p w14:paraId="2682C750" w14:textId="77777777" w:rsidR="00D6266B" w:rsidRDefault="00D6266B" w:rsidP="00E724F7">
      <w:r>
        <w:continuationSeparator/>
      </w:r>
    </w:p>
  </w:endnote>
  <w:endnote w:type="continuationNotice" w:id="1">
    <w:p w14:paraId="60CFA36C" w14:textId="77777777" w:rsidR="00D6266B" w:rsidRDefault="00D62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228B2" w14:textId="77777777" w:rsidR="00D6266B" w:rsidRDefault="00D6266B" w:rsidP="00E724F7">
      <w:r>
        <w:separator/>
      </w:r>
    </w:p>
  </w:footnote>
  <w:footnote w:type="continuationSeparator" w:id="0">
    <w:p w14:paraId="0C41916F" w14:textId="77777777" w:rsidR="00D6266B" w:rsidRDefault="00D6266B" w:rsidP="00E724F7">
      <w:r>
        <w:continuationSeparator/>
      </w:r>
    </w:p>
  </w:footnote>
  <w:footnote w:type="continuationNotice" w:id="1">
    <w:p w14:paraId="05892931" w14:textId="77777777" w:rsidR="00D6266B" w:rsidRDefault="00D626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7E1A2F3F"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11F5E"/>
    <w:multiLevelType w:val="hybridMultilevel"/>
    <w:tmpl w:val="3306C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D117AD"/>
    <w:multiLevelType w:val="hybridMultilevel"/>
    <w:tmpl w:val="B5B8E5CA"/>
    <w:lvl w:ilvl="0" w:tplc="3806C4AA">
      <w:start w:val="1"/>
      <w:numFmt w:val="bullet"/>
      <w:pStyle w:val="TOC1"/>
      <w:lvlText w:val=""/>
      <w:lvlJc w:val="left"/>
      <w:pPr>
        <w:ind w:left="720" w:hanging="360"/>
      </w:pPr>
      <w:rPr>
        <w:rFonts w:ascii="Symbol" w:hAnsi="Symbol" w:hint="default"/>
      </w:rPr>
    </w:lvl>
    <w:lvl w:ilvl="1" w:tplc="653E7BC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254EF"/>
    <w:multiLevelType w:val="hybridMultilevel"/>
    <w:tmpl w:val="5D3AE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460AB8"/>
    <w:multiLevelType w:val="hybridMultilevel"/>
    <w:tmpl w:val="5458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7819983">
    <w:abstractNumId w:val="1"/>
  </w:num>
  <w:num w:numId="2" w16cid:durableId="900359942">
    <w:abstractNumId w:val="0"/>
  </w:num>
  <w:num w:numId="3" w16cid:durableId="1763640614">
    <w:abstractNumId w:val="2"/>
  </w:num>
  <w:num w:numId="4" w16cid:durableId="164654555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3819"/>
    <w:rsid w:val="00010565"/>
    <w:rsid w:val="000112A7"/>
    <w:rsid w:val="00011D16"/>
    <w:rsid w:val="0001456D"/>
    <w:rsid w:val="00014A66"/>
    <w:rsid w:val="000220E1"/>
    <w:rsid w:val="0002519C"/>
    <w:rsid w:val="00026721"/>
    <w:rsid w:val="00027DF5"/>
    <w:rsid w:val="00031481"/>
    <w:rsid w:val="00036CEF"/>
    <w:rsid w:val="000375E8"/>
    <w:rsid w:val="0003786A"/>
    <w:rsid w:val="00041118"/>
    <w:rsid w:val="00041F02"/>
    <w:rsid w:val="00042F9C"/>
    <w:rsid w:val="000431CA"/>
    <w:rsid w:val="000452B8"/>
    <w:rsid w:val="0005226D"/>
    <w:rsid w:val="000530A7"/>
    <w:rsid w:val="00054DD0"/>
    <w:rsid w:val="000553FE"/>
    <w:rsid w:val="000579E7"/>
    <w:rsid w:val="00061FC2"/>
    <w:rsid w:val="00064BEA"/>
    <w:rsid w:val="00071985"/>
    <w:rsid w:val="000747AE"/>
    <w:rsid w:val="00074C29"/>
    <w:rsid w:val="00074C2C"/>
    <w:rsid w:val="00082F31"/>
    <w:rsid w:val="00082FD5"/>
    <w:rsid w:val="00090F88"/>
    <w:rsid w:val="00096BE1"/>
    <w:rsid w:val="00096F9D"/>
    <w:rsid w:val="000A1A53"/>
    <w:rsid w:val="000A686F"/>
    <w:rsid w:val="000B00A2"/>
    <w:rsid w:val="000B1F4F"/>
    <w:rsid w:val="000B4EE6"/>
    <w:rsid w:val="000B5A6A"/>
    <w:rsid w:val="000B7B24"/>
    <w:rsid w:val="000B7CBB"/>
    <w:rsid w:val="000C3107"/>
    <w:rsid w:val="000C337B"/>
    <w:rsid w:val="000C3411"/>
    <w:rsid w:val="000C354A"/>
    <w:rsid w:val="000C3DC6"/>
    <w:rsid w:val="000C3E54"/>
    <w:rsid w:val="000C55E3"/>
    <w:rsid w:val="000C77E8"/>
    <w:rsid w:val="000D1AD7"/>
    <w:rsid w:val="000D2F66"/>
    <w:rsid w:val="000D49B8"/>
    <w:rsid w:val="000D4CB0"/>
    <w:rsid w:val="000D590E"/>
    <w:rsid w:val="000D662C"/>
    <w:rsid w:val="000D7B99"/>
    <w:rsid w:val="000E1C49"/>
    <w:rsid w:val="000E2D9F"/>
    <w:rsid w:val="000E3EFF"/>
    <w:rsid w:val="000E4B11"/>
    <w:rsid w:val="000E5E74"/>
    <w:rsid w:val="000F2BAD"/>
    <w:rsid w:val="000F55F6"/>
    <w:rsid w:val="000F593D"/>
    <w:rsid w:val="000F6E87"/>
    <w:rsid w:val="000F7D2E"/>
    <w:rsid w:val="001007E7"/>
    <w:rsid w:val="001010D0"/>
    <w:rsid w:val="00102E21"/>
    <w:rsid w:val="00102EA3"/>
    <w:rsid w:val="00103273"/>
    <w:rsid w:val="00107021"/>
    <w:rsid w:val="00114599"/>
    <w:rsid w:val="00114E43"/>
    <w:rsid w:val="001166D4"/>
    <w:rsid w:val="00117426"/>
    <w:rsid w:val="001234C0"/>
    <w:rsid w:val="00125568"/>
    <w:rsid w:val="001319C8"/>
    <w:rsid w:val="00136D47"/>
    <w:rsid w:val="00136D4E"/>
    <w:rsid w:val="001372A5"/>
    <w:rsid w:val="00140FD8"/>
    <w:rsid w:val="00144F98"/>
    <w:rsid w:val="0015202C"/>
    <w:rsid w:val="0015490F"/>
    <w:rsid w:val="00154C45"/>
    <w:rsid w:val="001551B9"/>
    <w:rsid w:val="001658FA"/>
    <w:rsid w:val="00167964"/>
    <w:rsid w:val="001703D1"/>
    <w:rsid w:val="001748B2"/>
    <w:rsid w:val="001748C6"/>
    <w:rsid w:val="00174F7A"/>
    <w:rsid w:val="00176BBA"/>
    <w:rsid w:val="001920A0"/>
    <w:rsid w:val="0019457B"/>
    <w:rsid w:val="00194B8C"/>
    <w:rsid w:val="001A06DA"/>
    <w:rsid w:val="001A19E0"/>
    <w:rsid w:val="001A286F"/>
    <w:rsid w:val="001A50AE"/>
    <w:rsid w:val="001A5994"/>
    <w:rsid w:val="001A64CB"/>
    <w:rsid w:val="001B1502"/>
    <w:rsid w:val="001B4E70"/>
    <w:rsid w:val="001B51BC"/>
    <w:rsid w:val="001B5988"/>
    <w:rsid w:val="001B72D4"/>
    <w:rsid w:val="001C3886"/>
    <w:rsid w:val="001D230E"/>
    <w:rsid w:val="001D2514"/>
    <w:rsid w:val="001D28DD"/>
    <w:rsid w:val="001D32E4"/>
    <w:rsid w:val="001E172A"/>
    <w:rsid w:val="001E2581"/>
    <w:rsid w:val="001E717C"/>
    <w:rsid w:val="001F0D91"/>
    <w:rsid w:val="001F5102"/>
    <w:rsid w:val="001F5FE3"/>
    <w:rsid w:val="001F686F"/>
    <w:rsid w:val="001F7501"/>
    <w:rsid w:val="002045BC"/>
    <w:rsid w:val="00205202"/>
    <w:rsid w:val="00205C0D"/>
    <w:rsid w:val="00210CA6"/>
    <w:rsid w:val="002125F1"/>
    <w:rsid w:val="002152F3"/>
    <w:rsid w:val="0021567D"/>
    <w:rsid w:val="002169B7"/>
    <w:rsid w:val="00221EC6"/>
    <w:rsid w:val="0022231F"/>
    <w:rsid w:val="0022454C"/>
    <w:rsid w:val="00231312"/>
    <w:rsid w:val="002315E4"/>
    <w:rsid w:val="00233DA8"/>
    <w:rsid w:val="00234B3A"/>
    <w:rsid w:val="002403A0"/>
    <w:rsid w:val="00241BAB"/>
    <w:rsid w:val="002424C2"/>
    <w:rsid w:val="00245A9D"/>
    <w:rsid w:val="00250450"/>
    <w:rsid w:val="002512E3"/>
    <w:rsid w:val="00252904"/>
    <w:rsid w:val="002533F5"/>
    <w:rsid w:val="00254E17"/>
    <w:rsid w:val="00266332"/>
    <w:rsid w:val="00275348"/>
    <w:rsid w:val="00276FA2"/>
    <w:rsid w:val="002811AB"/>
    <w:rsid w:val="00283571"/>
    <w:rsid w:val="00283EEA"/>
    <w:rsid w:val="002840DC"/>
    <w:rsid w:val="00290021"/>
    <w:rsid w:val="00291BF9"/>
    <w:rsid w:val="00296468"/>
    <w:rsid w:val="002A43CF"/>
    <w:rsid w:val="002B168E"/>
    <w:rsid w:val="002B370A"/>
    <w:rsid w:val="002C1693"/>
    <w:rsid w:val="002C1CC2"/>
    <w:rsid w:val="002C450B"/>
    <w:rsid w:val="002C6D9D"/>
    <w:rsid w:val="002E36C5"/>
    <w:rsid w:val="0030081A"/>
    <w:rsid w:val="003016E1"/>
    <w:rsid w:val="00302486"/>
    <w:rsid w:val="00303BBC"/>
    <w:rsid w:val="00305369"/>
    <w:rsid w:val="00313008"/>
    <w:rsid w:val="00320AFA"/>
    <w:rsid w:val="00323263"/>
    <w:rsid w:val="003279F8"/>
    <w:rsid w:val="003375F7"/>
    <w:rsid w:val="00342F09"/>
    <w:rsid w:val="0034362D"/>
    <w:rsid w:val="00345602"/>
    <w:rsid w:val="003514F7"/>
    <w:rsid w:val="00352F9A"/>
    <w:rsid w:val="00357B44"/>
    <w:rsid w:val="00361A15"/>
    <w:rsid w:val="00367065"/>
    <w:rsid w:val="00367AC1"/>
    <w:rsid w:val="00370139"/>
    <w:rsid w:val="00370EA2"/>
    <w:rsid w:val="00380A0E"/>
    <w:rsid w:val="003850CD"/>
    <w:rsid w:val="00385613"/>
    <w:rsid w:val="00385E62"/>
    <w:rsid w:val="00392115"/>
    <w:rsid w:val="00396DB3"/>
    <w:rsid w:val="003976E9"/>
    <w:rsid w:val="003A0DC8"/>
    <w:rsid w:val="003A14CD"/>
    <w:rsid w:val="003A518E"/>
    <w:rsid w:val="003A7686"/>
    <w:rsid w:val="003B0B4E"/>
    <w:rsid w:val="003B1D3F"/>
    <w:rsid w:val="003B3640"/>
    <w:rsid w:val="003B3A24"/>
    <w:rsid w:val="003B609D"/>
    <w:rsid w:val="003C256D"/>
    <w:rsid w:val="003C28A2"/>
    <w:rsid w:val="003C74DF"/>
    <w:rsid w:val="003C796D"/>
    <w:rsid w:val="003D288C"/>
    <w:rsid w:val="003D50FE"/>
    <w:rsid w:val="003D5C49"/>
    <w:rsid w:val="003D6F20"/>
    <w:rsid w:val="003D759C"/>
    <w:rsid w:val="003E42E1"/>
    <w:rsid w:val="003E4D05"/>
    <w:rsid w:val="003F42BE"/>
    <w:rsid w:val="003F5A47"/>
    <w:rsid w:val="004014E6"/>
    <w:rsid w:val="004031BD"/>
    <w:rsid w:val="00403500"/>
    <w:rsid w:val="004044EC"/>
    <w:rsid w:val="0040475F"/>
    <w:rsid w:val="004153A7"/>
    <w:rsid w:val="00415642"/>
    <w:rsid w:val="004165AD"/>
    <w:rsid w:val="00420C01"/>
    <w:rsid w:val="00421C4F"/>
    <w:rsid w:val="00422C71"/>
    <w:rsid w:val="0042314C"/>
    <w:rsid w:val="00423F99"/>
    <w:rsid w:val="00427390"/>
    <w:rsid w:val="0043705A"/>
    <w:rsid w:val="004501E7"/>
    <w:rsid w:val="00450705"/>
    <w:rsid w:val="00451380"/>
    <w:rsid w:val="00451A3D"/>
    <w:rsid w:val="00455415"/>
    <w:rsid w:val="00463B25"/>
    <w:rsid w:val="00465878"/>
    <w:rsid w:val="0046634C"/>
    <w:rsid w:val="004678DD"/>
    <w:rsid w:val="00471D28"/>
    <w:rsid w:val="004751D8"/>
    <w:rsid w:val="00475909"/>
    <w:rsid w:val="0047642B"/>
    <w:rsid w:val="00486B21"/>
    <w:rsid w:val="004975EA"/>
    <w:rsid w:val="004A0486"/>
    <w:rsid w:val="004A0E10"/>
    <w:rsid w:val="004A5D11"/>
    <w:rsid w:val="004A6693"/>
    <w:rsid w:val="004A6F18"/>
    <w:rsid w:val="004B0E37"/>
    <w:rsid w:val="004B1439"/>
    <w:rsid w:val="004B1446"/>
    <w:rsid w:val="004B182F"/>
    <w:rsid w:val="004B1C9D"/>
    <w:rsid w:val="004B316D"/>
    <w:rsid w:val="004B62C4"/>
    <w:rsid w:val="004D38C5"/>
    <w:rsid w:val="004D68AA"/>
    <w:rsid w:val="004D6BFF"/>
    <w:rsid w:val="004E35EC"/>
    <w:rsid w:val="004E46F8"/>
    <w:rsid w:val="004E60DA"/>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493B"/>
    <w:rsid w:val="00536EA6"/>
    <w:rsid w:val="00537710"/>
    <w:rsid w:val="00537E8B"/>
    <w:rsid w:val="00540251"/>
    <w:rsid w:val="0054270C"/>
    <w:rsid w:val="00543FEC"/>
    <w:rsid w:val="005456D4"/>
    <w:rsid w:val="00546640"/>
    <w:rsid w:val="005504CA"/>
    <w:rsid w:val="00553043"/>
    <w:rsid w:val="0055355A"/>
    <w:rsid w:val="0055444D"/>
    <w:rsid w:val="0056265C"/>
    <w:rsid w:val="005626F6"/>
    <w:rsid w:val="00563A11"/>
    <w:rsid w:val="0057025A"/>
    <w:rsid w:val="0057105F"/>
    <w:rsid w:val="0057310A"/>
    <w:rsid w:val="00593E55"/>
    <w:rsid w:val="005968CA"/>
    <w:rsid w:val="005A0D50"/>
    <w:rsid w:val="005A208E"/>
    <w:rsid w:val="005A35F5"/>
    <w:rsid w:val="005A5C2E"/>
    <w:rsid w:val="005B39A1"/>
    <w:rsid w:val="005B56FD"/>
    <w:rsid w:val="005C0D72"/>
    <w:rsid w:val="005C1E0A"/>
    <w:rsid w:val="005C3423"/>
    <w:rsid w:val="005D223B"/>
    <w:rsid w:val="005D370A"/>
    <w:rsid w:val="005D39DB"/>
    <w:rsid w:val="005D5C09"/>
    <w:rsid w:val="005D6571"/>
    <w:rsid w:val="005D6E90"/>
    <w:rsid w:val="005D7F89"/>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38EA"/>
    <w:rsid w:val="006373B1"/>
    <w:rsid w:val="006429E6"/>
    <w:rsid w:val="006433CA"/>
    <w:rsid w:val="00644ABF"/>
    <w:rsid w:val="006457D3"/>
    <w:rsid w:val="006460CC"/>
    <w:rsid w:val="006463FD"/>
    <w:rsid w:val="00646656"/>
    <w:rsid w:val="006516EB"/>
    <w:rsid w:val="00653868"/>
    <w:rsid w:val="00653934"/>
    <w:rsid w:val="0065509A"/>
    <w:rsid w:val="00655831"/>
    <w:rsid w:val="006559A6"/>
    <w:rsid w:val="006601D1"/>
    <w:rsid w:val="00660780"/>
    <w:rsid w:val="00665BBC"/>
    <w:rsid w:val="006668CD"/>
    <w:rsid w:val="00666DB8"/>
    <w:rsid w:val="00670C8F"/>
    <w:rsid w:val="006762BB"/>
    <w:rsid w:val="00676689"/>
    <w:rsid w:val="00681FAC"/>
    <w:rsid w:val="006909A3"/>
    <w:rsid w:val="00696BE5"/>
    <w:rsid w:val="00696CFA"/>
    <w:rsid w:val="0069739B"/>
    <w:rsid w:val="006A2DCD"/>
    <w:rsid w:val="006A4F7E"/>
    <w:rsid w:val="006A5A1E"/>
    <w:rsid w:val="006B0D96"/>
    <w:rsid w:val="006B5DA3"/>
    <w:rsid w:val="006C3AD6"/>
    <w:rsid w:val="006C4D64"/>
    <w:rsid w:val="006C7F7B"/>
    <w:rsid w:val="006D0A86"/>
    <w:rsid w:val="006D36F3"/>
    <w:rsid w:val="006D7D46"/>
    <w:rsid w:val="006E2BD9"/>
    <w:rsid w:val="006E3544"/>
    <w:rsid w:val="006E63FB"/>
    <w:rsid w:val="006F15B1"/>
    <w:rsid w:val="006F53E7"/>
    <w:rsid w:val="006F547F"/>
    <w:rsid w:val="006F5762"/>
    <w:rsid w:val="007011EC"/>
    <w:rsid w:val="00701E9E"/>
    <w:rsid w:val="00702CE9"/>
    <w:rsid w:val="007035E0"/>
    <w:rsid w:val="007054B4"/>
    <w:rsid w:val="007071E2"/>
    <w:rsid w:val="00711FBB"/>
    <w:rsid w:val="00712EA6"/>
    <w:rsid w:val="00713F6A"/>
    <w:rsid w:val="00717140"/>
    <w:rsid w:val="00720B5D"/>
    <w:rsid w:val="007225F5"/>
    <w:rsid w:val="00723EA8"/>
    <w:rsid w:val="0073185B"/>
    <w:rsid w:val="0073355B"/>
    <w:rsid w:val="00735D4D"/>
    <w:rsid w:val="00740D11"/>
    <w:rsid w:val="00743451"/>
    <w:rsid w:val="00743DDB"/>
    <w:rsid w:val="00745900"/>
    <w:rsid w:val="00750ECD"/>
    <w:rsid w:val="00751AF4"/>
    <w:rsid w:val="00752116"/>
    <w:rsid w:val="0075254C"/>
    <w:rsid w:val="00752552"/>
    <w:rsid w:val="00754B66"/>
    <w:rsid w:val="00756969"/>
    <w:rsid w:val="007629CB"/>
    <w:rsid w:val="00762B2A"/>
    <w:rsid w:val="007633CA"/>
    <w:rsid w:val="00764CF0"/>
    <w:rsid w:val="00765853"/>
    <w:rsid w:val="007670CF"/>
    <w:rsid w:val="00771538"/>
    <w:rsid w:val="007865C2"/>
    <w:rsid w:val="0078774A"/>
    <w:rsid w:val="0079016E"/>
    <w:rsid w:val="007971B8"/>
    <w:rsid w:val="007A6AF1"/>
    <w:rsid w:val="007A7AD2"/>
    <w:rsid w:val="007B1CB9"/>
    <w:rsid w:val="007B5246"/>
    <w:rsid w:val="007B680A"/>
    <w:rsid w:val="007C41B9"/>
    <w:rsid w:val="007C570C"/>
    <w:rsid w:val="007C78C0"/>
    <w:rsid w:val="007D0FA3"/>
    <w:rsid w:val="007D1CB6"/>
    <w:rsid w:val="007D22CD"/>
    <w:rsid w:val="007D54CE"/>
    <w:rsid w:val="007D55E6"/>
    <w:rsid w:val="007E02EB"/>
    <w:rsid w:val="007E03EA"/>
    <w:rsid w:val="007E348B"/>
    <w:rsid w:val="007E4EA9"/>
    <w:rsid w:val="007F1DFA"/>
    <w:rsid w:val="007F1E81"/>
    <w:rsid w:val="007F584C"/>
    <w:rsid w:val="008020BB"/>
    <w:rsid w:val="008036DA"/>
    <w:rsid w:val="00803C36"/>
    <w:rsid w:val="00804AF0"/>
    <w:rsid w:val="008052FE"/>
    <w:rsid w:val="008060EC"/>
    <w:rsid w:val="00806994"/>
    <w:rsid w:val="00807374"/>
    <w:rsid w:val="008129A3"/>
    <w:rsid w:val="008132F8"/>
    <w:rsid w:val="008144D7"/>
    <w:rsid w:val="00820B0D"/>
    <w:rsid w:val="00822984"/>
    <w:rsid w:val="00823286"/>
    <w:rsid w:val="0082548B"/>
    <w:rsid w:val="008345F6"/>
    <w:rsid w:val="00834693"/>
    <w:rsid w:val="0084003B"/>
    <w:rsid w:val="0084300D"/>
    <w:rsid w:val="0084544A"/>
    <w:rsid w:val="00846B2F"/>
    <w:rsid w:val="00850C00"/>
    <w:rsid w:val="00851100"/>
    <w:rsid w:val="008516E7"/>
    <w:rsid w:val="00856481"/>
    <w:rsid w:val="00862CE3"/>
    <w:rsid w:val="00863472"/>
    <w:rsid w:val="008636A0"/>
    <w:rsid w:val="008643CB"/>
    <w:rsid w:val="00865B51"/>
    <w:rsid w:val="00866350"/>
    <w:rsid w:val="00866C75"/>
    <w:rsid w:val="008675F8"/>
    <w:rsid w:val="00877BC5"/>
    <w:rsid w:val="008819F8"/>
    <w:rsid w:val="0088414C"/>
    <w:rsid w:val="0088466C"/>
    <w:rsid w:val="00886FA2"/>
    <w:rsid w:val="008930F5"/>
    <w:rsid w:val="0089592C"/>
    <w:rsid w:val="008A1765"/>
    <w:rsid w:val="008A7284"/>
    <w:rsid w:val="008A7595"/>
    <w:rsid w:val="008A7867"/>
    <w:rsid w:val="008A7F37"/>
    <w:rsid w:val="008B18BB"/>
    <w:rsid w:val="008B235B"/>
    <w:rsid w:val="008B56DD"/>
    <w:rsid w:val="008B65C5"/>
    <w:rsid w:val="008B71F2"/>
    <w:rsid w:val="008C018C"/>
    <w:rsid w:val="008C28EE"/>
    <w:rsid w:val="008C2DB4"/>
    <w:rsid w:val="008C3ED8"/>
    <w:rsid w:val="008C5805"/>
    <w:rsid w:val="008C78BE"/>
    <w:rsid w:val="008C79AD"/>
    <w:rsid w:val="008D11D4"/>
    <w:rsid w:val="008D40DE"/>
    <w:rsid w:val="008D4966"/>
    <w:rsid w:val="008D6545"/>
    <w:rsid w:val="008D7B74"/>
    <w:rsid w:val="008E29C9"/>
    <w:rsid w:val="008E6F7E"/>
    <w:rsid w:val="008E7CBE"/>
    <w:rsid w:val="008E7CC5"/>
    <w:rsid w:val="008F16E7"/>
    <w:rsid w:val="008F1D31"/>
    <w:rsid w:val="008F2D90"/>
    <w:rsid w:val="008F4A71"/>
    <w:rsid w:val="008F501F"/>
    <w:rsid w:val="008F66AB"/>
    <w:rsid w:val="0090051D"/>
    <w:rsid w:val="00907060"/>
    <w:rsid w:val="00910E23"/>
    <w:rsid w:val="009117CA"/>
    <w:rsid w:val="00912D45"/>
    <w:rsid w:val="00921EAA"/>
    <w:rsid w:val="00932987"/>
    <w:rsid w:val="00934100"/>
    <w:rsid w:val="0093564D"/>
    <w:rsid w:val="00935890"/>
    <w:rsid w:val="00951E70"/>
    <w:rsid w:val="00953CD6"/>
    <w:rsid w:val="00961669"/>
    <w:rsid w:val="00963204"/>
    <w:rsid w:val="00963BF3"/>
    <w:rsid w:val="00967EEB"/>
    <w:rsid w:val="00973B47"/>
    <w:rsid w:val="0097518E"/>
    <w:rsid w:val="00981AE8"/>
    <w:rsid w:val="00981E04"/>
    <w:rsid w:val="009825CE"/>
    <w:rsid w:val="00990150"/>
    <w:rsid w:val="009924BF"/>
    <w:rsid w:val="00993D2F"/>
    <w:rsid w:val="00995A44"/>
    <w:rsid w:val="009979FA"/>
    <w:rsid w:val="00997C33"/>
    <w:rsid w:val="009A6D83"/>
    <w:rsid w:val="009B019E"/>
    <w:rsid w:val="009B3394"/>
    <w:rsid w:val="009C10DF"/>
    <w:rsid w:val="009C3410"/>
    <w:rsid w:val="009C5760"/>
    <w:rsid w:val="009C5B15"/>
    <w:rsid w:val="009D0FB7"/>
    <w:rsid w:val="009D1AD1"/>
    <w:rsid w:val="009D258A"/>
    <w:rsid w:val="009D27C9"/>
    <w:rsid w:val="009D6D5F"/>
    <w:rsid w:val="009E7AD6"/>
    <w:rsid w:val="009F4D59"/>
    <w:rsid w:val="00A01E02"/>
    <w:rsid w:val="00A10FC0"/>
    <w:rsid w:val="00A207BD"/>
    <w:rsid w:val="00A22AD1"/>
    <w:rsid w:val="00A25626"/>
    <w:rsid w:val="00A25B2E"/>
    <w:rsid w:val="00A30FDD"/>
    <w:rsid w:val="00A332DE"/>
    <w:rsid w:val="00A33C6C"/>
    <w:rsid w:val="00A36B64"/>
    <w:rsid w:val="00A37D94"/>
    <w:rsid w:val="00A45358"/>
    <w:rsid w:val="00A461EB"/>
    <w:rsid w:val="00A51414"/>
    <w:rsid w:val="00A537F4"/>
    <w:rsid w:val="00A56EDC"/>
    <w:rsid w:val="00A60DEA"/>
    <w:rsid w:val="00A66B15"/>
    <w:rsid w:val="00A713BC"/>
    <w:rsid w:val="00A76D42"/>
    <w:rsid w:val="00A77F96"/>
    <w:rsid w:val="00A83440"/>
    <w:rsid w:val="00AA0603"/>
    <w:rsid w:val="00AA2770"/>
    <w:rsid w:val="00AA2E09"/>
    <w:rsid w:val="00AA705E"/>
    <w:rsid w:val="00AC2FE1"/>
    <w:rsid w:val="00AC7EA0"/>
    <w:rsid w:val="00AD0292"/>
    <w:rsid w:val="00AD43A5"/>
    <w:rsid w:val="00AD48A4"/>
    <w:rsid w:val="00AD4BD9"/>
    <w:rsid w:val="00AD4FFD"/>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26C1C"/>
    <w:rsid w:val="00B30118"/>
    <w:rsid w:val="00B3077D"/>
    <w:rsid w:val="00B3198D"/>
    <w:rsid w:val="00B31B3A"/>
    <w:rsid w:val="00B34BA7"/>
    <w:rsid w:val="00B35DFB"/>
    <w:rsid w:val="00B45ACE"/>
    <w:rsid w:val="00B51EAE"/>
    <w:rsid w:val="00B61253"/>
    <w:rsid w:val="00B62E6A"/>
    <w:rsid w:val="00B66D4E"/>
    <w:rsid w:val="00B713C0"/>
    <w:rsid w:val="00B7164F"/>
    <w:rsid w:val="00B75A8D"/>
    <w:rsid w:val="00B82D2D"/>
    <w:rsid w:val="00B836C7"/>
    <w:rsid w:val="00B85220"/>
    <w:rsid w:val="00B95455"/>
    <w:rsid w:val="00B962A5"/>
    <w:rsid w:val="00BA0435"/>
    <w:rsid w:val="00BA3982"/>
    <w:rsid w:val="00BB1493"/>
    <w:rsid w:val="00BB53D7"/>
    <w:rsid w:val="00BC1861"/>
    <w:rsid w:val="00BC1ED8"/>
    <w:rsid w:val="00BC39FA"/>
    <w:rsid w:val="00BC546A"/>
    <w:rsid w:val="00BC70D6"/>
    <w:rsid w:val="00BC7604"/>
    <w:rsid w:val="00BD0D2E"/>
    <w:rsid w:val="00BD2669"/>
    <w:rsid w:val="00BD67E7"/>
    <w:rsid w:val="00BD7A55"/>
    <w:rsid w:val="00BE2F56"/>
    <w:rsid w:val="00BE3320"/>
    <w:rsid w:val="00BE37B1"/>
    <w:rsid w:val="00BE3854"/>
    <w:rsid w:val="00BE5ACC"/>
    <w:rsid w:val="00BF0444"/>
    <w:rsid w:val="00BF16FF"/>
    <w:rsid w:val="00BF2CFC"/>
    <w:rsid w:val="00BF51C8"/>
    <w:rsid w:val="00BF58F3"/>
    <w:rsid w:val="00C01E84"/>
    <w:rsid w:val="00C02DF1"/>
    <w:rsid w:val="00C115E0"/>
    <w:rsid w:val="00C12924"/>
    <w:rsid w:val="00C13032"/>
    <w:rsid w:val="00C1475A"/>
    <w:rsid w:val="00C1601F"/>
    <w:rsid w:val="00C17185"/>
    <w:rsid w:val="00C21F3E"/>
    <w:rsid w:val="00C32066"/>
    <w:rsid w:val="00C329B2"/>
    <w:rsid w:val="00C34DE9"/>
    <w:rsid w:val="00C34E86"/>
    <w:rsid w:val="00C34FB7"/>
    <w:rsid w:val="00C35C95"/>
    <w:rsid w:val="00C51267"/>
    <w:rsid w:val="00C539CD"/>
    <w:rsid w:val="00C55261"/>
    <w:rsid w:val="00C56C58"/>
    <w:rsid w:val="00C56E9D"/>
    <w:rsid w:val="00C602B9"/>
    <w:rsid w:val="00C61A24"/>
    <w:rsid w:val="00C62E34"/>
    <w:rsid w:val="00C64579"/>
    <w:rsid w:val="00C64758"/>
    <w:rsid w:val="00C65673"/>
    <w:rsid w:val="00C6586B"/>
    <w:rsid w:val="00C714D6"/>
    <w:rsid w:val="00C73CFC"/>
    <w:rsid w:val="00C759E1"/>
    <w:rsid w:val="00C81877"/>
    <w:rsid w:val="00C835D5"/>
    <w:rsid w:val="00C84D08"/>
    <w:rsid w:val="00C857F3"/>
    <w:rsid w:val="00C919C5"/>
    <w:rsid w:val="00C94EB3"/>
    <w:rsid w:val="00C959BF"/>
    <w:rsid w:val="00C96CE0"/>
    <w:rsid w:val="00CA07E0"/>
    <w:rsid w:val="00CA09BE"/>
    <w:rsid w:val="00CA546A"/>
    <w:rsid w:val="00CB4E18"/>
    <w:rsid w:val="00CB59F4"/>
    <w:rsid w:val="00CC1634"/>
    <w:rsid w:val="00CC1B05"/>
    <w:rsid w:val="00CC4B57"/>
    <w:rsid w:val="00CC6B53"/>
    <w:rsid w:val="00CD3061"/>
    <w:rsid w:val="00CD5E1F"/>
    <w:rsid w:val="00CD6874"/>
    <w:rsid w:val="00CE326F"/>
    <w:rsid w:val="00CE3666"/>
    <w:rsid w:val="00CE5846"/>
    <w:rsid w:val="00CE75ED"/>
    <w:rsid w:val="00CF04B2"/>
    <w:rsid w:val="00CF070D"/>
    <w:rsid w:val="00CF2541"/>
    <w:rsid w:val="00CF2ADF"/>
    <w:rsid w:val="00CF3068"/>
    <w:rsid w:val="00CF3CA7"/>
    <w:rsid w:val="00D027F2"/>
    <w:rsid w:val="00D0463E"/>
    <w:rsid w:val="00D06893"/>
    <w:rsid w:val="00D1356F"/>
    <w:rsid w:val="00D13A21"/>
    <w:rsid w:val="00D15458"/>
    <w:rsid w:val="00D15893"/>
    <w:rsid w:val="00D16B29"/>
    <w:rsid w:val="00D16BAE"/>
    <w:rsid w:val="00D22E0C"/>
    <w:rsid w:val="00D22E2E"/>
    <w:rsid w:val="00D23A83"/>
    <w:rsid w:val="00D36FAA"/>
    <w:rsid w:val="00D37106"/>
    <w:rsid w:val="00D37F4F"/>
    <w:rsid w:val="00D411ED"/>
    <w:rsid w:val="00D413C4"/>
    <w:rsid w:val="00D42FFF"/>
    <w:rsid w:val="00D44B62"/>
    <w:rsid w:val="00D50CB8"/>
    <w:rsid w:val="00D5116C"/>
    <w:rsid w:val="00D52A61"/>
    <w:rsid w:val="00D55967"/>
    <w:rsid w:val="00D57F37"/>
    <w:rsid w:val="00D61A9F"/>
    <w:rsid w:val="00D62356"/>
    <w:rsid w:val="00D6266B"/>
    <w:rsid w:val="00D6541E"/>
    <w:rsid w:val="00D71BD4"/>
    <w:rsid w:val="00D72348"/>
    <w:rsid w:val="00D72DA8"/>
    <w:rsid w:val="00D72FBA"/>
    <w:rsid w:val="00D822D0"/>
    <w:rsid w:val="00D84FD4"/>
    <w:rsid w:val="00D85732"/>
    <w:rsid w:val="00D914EA"/>
    <w:rsid w:val="00D94614"/>
    <w:rsid w:val="00D95B5F"/>
    <w:rsid w:val="00DA0410"/>
    <w:rsid w:val="00DA1056"/>
    <w:rsid w:val="00DA1C2A"/>
    <w:rsid w:val="00DA2126"/>
    <w:rsid w:val="00DA2230"/>
    <w:rsid w:val="00DA31D4"/>
    <w:rsid w:val="00DA5A5A"/>
    <w:rsid w:val="00DA72F3"/>
    <w:rsid w:val="00DB0CCE"/>
    <w:rsid w:val="00DB593B"/>
    <w:rsid w:val="00DC0C97"/>
    <w:rsid w:val="00DC53D5"/>
    <w:rsid w:val="00DC65C9"/>
    <w:rsid w:val="00DC6BD6"/>
    <w:rsid w:val="00DD138A"/>
    <w:rsid w:val="00DD248A"/>
    <w:rsid w:val="00DD42D7"/>
    <w:rsid w:val="00DD6A76"/>
    <w:rsid w:val="00DE08B4"/>
    <w:rsid w:val="00DE5952"/>
    <w:rsid w:val="00DE6742"/>
    <w:rsid w:val="00DF0114"/>
    <w:rsid w:val="00DF0DFA"/>
    <w:rsid w:val="00DF13D9"/>
    <w:rsid w:val="00DF1937"/>
    <w:rsid w:val="00DF25BF"/>
    <w:rsid w:val="00DF6AC9"/>
    <w:rsid w:val="00DF7B47"/>
    <w:rsid w:val="00E03189"/>
    <w:rsid w:val="00E07936"/>
    <w:rsid w:val="00E101B9"/>
    <w:rsid w:val="00E115E8"/>
    <w:rsid w:val="00E11830"/>
    <w:rsid w:val="00E13583"/>
    <w:rsid w:val="00E217E8"/>
    <w:rsid w:val="00E23EAD"/>
    <w:rsid w:val="00E24238"/>
    <w:rsid w:val="00E265F1"/>
    <w:rsid w:val="00E26A71"/>
    <w:rsid w:val="00E33DB6"/>
    <w:rsid w:val="00E40451"/>
    <w:rsid w:val="00E426DA"/>
    <w:rsid w:val="00E43543"/>
    <w:rsid w:val="00E52379"/>
    <w:rsid w:val="00E55131"/>
    <w:rsid w:val="00E56473"/>
    <w:rsid w:val="00E5678B"/>
    <w:rsid w:val="00E57ADD"/>
    <w:rsid w:val="00E619E9"/>
    <w:rsid w:val="00E66073"/>
    <w:rsid w:val="00E70DA9"/>
    <w:rsid w:val="00E724F7"/>
    <w:rsid w:val="00E7390B"/>
    <w:rsid w:val="00E75A3F"/>
    <w:rsid w:val="00E77B9C"/>
    <w:rsid w:val="00E815B3"/>
    <w:rsid w:val="00E8206B"/>
    <w:rsid w:val="00E82918"/>
    <w:rsid w:val="00E90F5E"/>
    <w:rsid w:val="00E91ED5"/>
    <w:rsid w:val="00E933A0"/>
    <w:rsid w:val="00E95B28"/>
    <w:rsid w:val="00EA1E8F"/>
    <w:rsid w:val="00EA7708"/>
    <w:rsid w:val="00EB5431"/>
    <w:rsid w:val="00EB6A53"/>
    <w:rsid w:val="00EB6B2A"/>
    <w:rsid w:val="00EC2BF5"/>
    <w:rsid w:val="00EC2C20"/>
    <w:rsid w:val="00EC3328"/>
    <w:rsid w:val="00EC3F20"/>
    <w:rsid w:val="00EC66B3"/>
    <w:rsid w:val="00EC7192"/>
    <w:rsid w:val="00ED73B3"/>
    <w:rsid w:val="00EE1ADD"/>
    <w:rsid w:val="00EE201B"/>
    <w:rsid w:val="00EE2194"/>
    <w:rsid w:val="00EE5159"/>
    <w:rsid w:val="00EE6E3B"/>
    <w:rsid w:val="00EF0134"/>
    <w:rsid w:val="00F01A93"/>
    <w:rsid w:val="00F01E9B"/>
    <w:rsid w:val="00F0328A"/>
    <w:rsid w:val="00F03E9E"/>
    <w:rsid w:val="00F137A5"/>
    <w:rsid w:val="00F14266"/>
    <w:rsid w:val="00F1564F"/>
    <w:rsid w:val="00F21965"/>
    <w:rsid w:val="00F21C16"/>
    <w:rsid w:val="00F25F13"/>
    <w:rsid w:val="00F30127"/>
    <w:rsid w:val="00F43BCF"/>
    <w:rsid w:val="00F53673"/>
    <w:rsid w:val="00F603BF"/>
    <w:rsid w:val="00F64758"/>
    <w:rsid w:val="00F649F0"/>
    <w:rsid w:val="00F65977"/>
    <w:rsid w:val="00F66FF8"/>
    <w:rsid w:val="00F72754"/>
    <w:rsid w:val="00F728BA"/>
    <w:rsid w:val="00F72BF6"/>
    <w:rsid w:val="00F733E7"/>
    <w:rsid w:val="00F76151"/>
    <w:rsid w:val="00F772F3"/>
    <w:rsid w:val="00F820EB"/>
    <w:rsid w:val="00F83D4D"/>
    <w:rsid w:val="00FA014D"/>
    <w:rsid w:val="00FA0FDB"/>
    <w:rsid w:val="00FA59C6"/>
    <w:rsid w:val="00FA5C1F"/>
    <w:rsid w:val="00FB1B77"/>
    <w:rsid w:val="00FB21E7"/>
    <w:rsid w:val="00FB5F9A"/>
    <w:rsid w:val="00FB7BEC"/>
    <w:rsid w:val="00FC691D"/>
    <w:rsid w:val="00FD6791"/>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0B4EE6"/>
    <w:pPr>
      <w:numPr>
        <w:numId w:val="1"/>
      </w:numPr>
      <w:tabs>
        <w:tab w:val="right" w:leader="dot" w:pos="9350"/>
      </w:tabs>
    </w:pPr>
  </w:style>
  <w:style w:type="paragraph" w:styleId="TOC2">
    <w:name w:val="toc 2"/>
    <w:basedOn w:val="Normal"/>
    <w:next w:val="Normal"/>
    <w:autoRedefine/>
    <w:uiPriority w:val="39"/>
    <w:unhideWhenUsed/>
    <w:rsid w:val="000B4EE6"/>
    <w:pPr>
      <w:tabs>
        <w:tab w:val="right" w:leader="dot" w:pos="9350"/>
      </w:tabs>
      <w:ind w:left="11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unhideWhenUsed/>
    <w:rsid w:val="00C21F3E"/>
    <w:rPr>
      <w:sz w:val="20"/>
      <w:szCs w:val="20"/>
    </w:rPr>
  </w:style>
  <w:style w:type="character" w:customStyle="1" w:styleId="CommentTextChar">
    <w:name w:val="Comment Text Char"/>
    <w:basedOn w:val="DefaultParagraphFont"/>
    <w:link w:val="CommentText"/>
    <w:uiPriority w:val="99"/>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471D28"/>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customStyle="1" w:styleId="xmsonormal">
    <w:name w:val="x_msonormal"/>
    <w:basedOn w:val="Normal"/>
    <w:rsid w:val="007E03EA"/>
    <w:rPr>
      <w:rFonts w:ascii="Calibri" w:eastAsiaTheme="minorHAnsi" w:hAnsi="Calibri" w:cs="Calibri"/>
      <w:sz w:val="22"/>
    </w:rPr>
  </w:style>
  <w:style w:type="character" w:customStyle="1" w:styleId="xcontentpasted2">
    <w:name w:val="x_contentpasted2"/>
    <w:basedOn w:val="DefaultParagraphFont"/>
    <w:rsid w:val="007E03EA"/>
  </w:style>
  <w:style w:type="character" w:customStyle="1" w:styleId="xcontentpasted1">
    <w:name w:val="x_contentpasted1"/>
    <w:basedOn w:val="DefaultParagraphFont"/>
    <w:rsid w:val="007E03EA"/>
  </w:style>
  <w:style w:type="paragraph" w:styleId="Revision">
    <w:name w:val="Revision"/>
    <w:hidden/>
    <w:uiPriority w:val="99"/>
    <w:semiHidden/>
    <w:rsid w:val="00D23A83"/>
    <w:rPr>
      <w:rFonts w:ascii="Verdana" w:hAnsi="Verdan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3116717">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08618467">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60421836">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79543144">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182855">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35457723">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2548627">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17246676">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5984198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1207483">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70411">
      <w:bodyDiv w:val="1"/>
      <w:marLeft w:val="0"/>
      <w:marRight w:val="0"/>
      <w:marTop w:val="0"/>
      <w:marBottom w:val="0"/>
      <w:divBdr>
        <w:top w:val="none" w:sz="0" w:space="0" w:color="auto"/>
        <w:left w:val="none" w:sz="0" w:space="0" w:color="auto"/>
        <w:bottom w:val="none" w:sz="0" w:space="0" w:color="auto"/>
        <w:right w:val="none" w:sz="0" w:space="0" w:color="auto"/>
      </w:divBdr>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5049442">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28734521">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26208481">
      <w:bodyDiv w:val="1"/>
      <w:marLeft w:val="0"/>
      <w:marRight w:val="0"/>
      <w:marTop w:val="0"/>
      <w:marBottom w:val="0"/>
      <w:divBdr>
        <w:top w:val="none" w:sz="0" w:space="0" w:color="auto"/>
        <w:left w:val="none" w:sz="0" w:space="0" w:color="auto"/>
        <w:bottom w:val="none" w:sz="0" w:space="0" w:color="auto"/>
        <w:right w:val="none" w:sz="0" w:space="0" w:color="auto"/>
      </w:divBdr>
    </w:div>
    <w:div w:id="1330212039">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44307246">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2285267">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16296881">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08498793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sites/dfiles/Housing/documents/ORCF_Underwriter_Contact_Info.xlsx" TargetMode="External"/><Relationship Id="rId18" Type="http://schemas.openxmlformats.org/officeDocument/2006/relationships/hyperlink" Target="mailto:NSPIRE@hud.gov"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LeanThinking@hud.gov" TargetMode="External"/><Relationship Id="rId7" Type="http://schemas.openxmlformats.org/officeDocument/2006/relationships/settings" Target="settings.xml"/><Relationship Id="rId12" Type="http://schemas.openxmlformats.org/officeDocument/2006/relationships/hyperlink" Target="https://www.hud.gov/sites/dfiles/Housing/documents/2024-03hsgml.pdf" TargetMode="External"/><Relationship Id="rId17" Type="http://schemas.openxmlformats.org/officeDocument/2006/relationships/hyperlink" Target="https://www.hud.gov/program_offices/public_indian_housing/reac/nspire/toolkit" TargetMode="External"/><Relationship Id="rId25"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2" Type="http://schemas.openxmlformats.org/officeDocument/2006/relationships/customXml" Target="../customXml/item2.xml"/><Relationship Id="rId16" Type="http://schemas.openxmlformats.org/officeDocument/2006/relationships/hyperlink" Target="https://links-2.govdelivery.com/CL0/https:%2F%2Fwww.hud.gov%2Fsites%2Fdfiles%2FPIH%2Fdocuments%2FAppeals%2520Guidance%2520for%2520POAs%2520and%2520PHAs_Draft_update_30JUL24.pdf%3Futm_medium=email%26utm_source=govdelivery/1/010101916c051bd6-eec2599d-6a76-4fc8-a5a4-dddef1dbde50-000000/EZg8dt3HnOi4YPfi_9Qpwlfuapwsgryetgn4Dd5WHyQ=366" TargetMode="External"/><Relationship Id="rId20"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enterforpublicrep.org/court_case/marsters-et-al-v-healey-et-al/" TargetMode="External"/><Relationship Id="rId23"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28"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10" Type="http://schemas.openxmlformats.org/officeDocument/2006/relationships/endnotes" Target="endnotes.xml"/><Relationship Id="rId19" Type="http://schemas.openxmlformats.org/officeDocument/2006/relationships/hyperlink" Target="https://www.hud.gov/federal_housing_administration/healthcare_facilities/residential_care/loan_servic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terforpublicrep.org/wp-content/uploads/Doc-152-1-Settlement-Agreement.pdf" TargetMode="External"/><Relationship Id="rId22"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27"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2.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11735</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2</cp:revision>
  <cp:lastPrinted>2014-08-11T13:53:00Z</cp:lastPrinted>
  <dcterms:created xsi:type="dcterms:W3CDTF">2024-10-21T19:29:00Z</dcterms:created>
  <dcterms:modified xsi:type="dcterms:W3CDTF">2024-10-21T19:29:00Z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