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603D" w14:textId="4AE2E9CF" w:rsidR="008819F8" w:rsidRPr="00C1475A" w:rsidRDefault="006516EB" w:rsidP="00863472">
      <w:pPr>
        <w:pStyle w:val="NormalWeb"/>
        <w:jc w:val="center"/>
        <w:rPr>
          <w:rFonts w:ascii="Verdana" w:hAnsi="Verdana"/>
        </w:rPr>
      </w:pPr>
      <w:bookmarkStart w:id="0" w:name="_Hlk33784864"/>
      <w:r w:rsidRPr="00C1475A">
        <w:rPr>
          <w:rFonts w:ascii="Verdana" w:hAnsi="Verdana"/>
          <w:noProof/>
        </w:rPr>
        <w:drawing>
          <wp:inline distT="0" distB="0" distL="0" distR="0" wp14:anchorId="7E308CCD" wp14:editId="4226CDAA">
            <wp:extent cx="5943600" cy="1426210"/>
            <wp:effectExtent l="0" t="0" r="0" b="254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n232-gov-delivery-external_orig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426210"/>
                    </a:xfrm>
                    <a:prstGeom prst="rect">
                      <a:avLst/>
                    </a:prstGeom>
                  </pic:spPr>
                </pic:pic>
              </a:graphicData>
            </a:graphic>
          </wp:inline>
        </w:drawing>
      </w:r>
    </w:p>
    <w:p w14:paraId="6E0E603E" w14:textId="77777777" w:rsidR="008819F8" w:rsidRPr="00C1475A" w:rsidRDefault="008819F8" w:rsidP="00863472">
      <w:pPr>
        <w:rPr>
          <w:szCs w:val="24"/>
        </w:rPr>
      </w:pPr>
    </w:p>
    <w:p w14:paraId="6E0E6040" w14:textId="74B7CDCF" w:rsidR="00743DDB" w:rsidRPr="00C1475A" w:rsidRDefault="00A3697F" w:rsidP="00863472">
      <w:pPr>
        <w:pStyle w:val="NoSpacing"/>
        <w:rPr>
          <w:rFonts w:ascii="Arial" w:hAnsi="Arial" w:cs="Arial"/>
          <w:iCs/>
          <w:sz w:val="24"/>
          <w:szCs w:val="24"/>
        </w:rPr>
      </w:pPr>
      <w:r>
        <w:rPr>
          <w:rFonts w:ascii="Arial" w:hAnsi="Arial" w:cs="Arial"/>
          <w:iCs/>
          <w:sz w:val="24"/>
          <w:szCs w:val="24"/>
        </w:rPr>
        <w:t>November 20</w:t>
      </w:r>
      <w:r w:rsidR="008129A3" w:rsidRPr="00C1475A">
        <w:rPr>
          <w:rFonts w:ascii="Arial" w:hAnsi="Arial" w:cs="Arial"/>
          <w:iCs/>
          <w:sz w:val="24"/>
          <w:szCs w:val="24"/>
        </w:rPr>
        <w:t>, 20</w:t>
      </w:r>
      <w:r w:rsidR="001F686F" w:rsidRPr="00C1475A">
        <w:rPr>
          <w:rFonts w:ascii="Arial" w:hAnsi="Arial" w:cs="Arial"/>
          <w:iCs/>
          <w:sz w:val="24"/>
          <w:szCs w:val="24"/>
        </w:rPr>
        <w:t>2</w:t>
      </w:r>
      <w:r w:rsidR="006762BB" w:rsidRPr="00C1475A">
        <w:rPr>
          <w:rFonts w:ascii="Arial" w:hAnsi="Arial" w:cs="Arial"/>
          <w:iCs/>
          <w:sz w:val="24"/>
          <w:szCs w:val="24"/>
        </w:rPr>
        <w:t>3</w:t>
      </w:r>
    </w:p>
    <w:p w14:paraId="6E0E6041" w14:textId="26581954" w:rsidR="00E55131" w:rsidRPr="00C1475A" w:rsidRDefault="00E55131" w:rsidP="00863472">
      <w:pPr>
        <w:pStyle w:val="NoSpacing"/>
        <w:rPr>
          <w:rFonts w:ascii="Arial" w:hAnsi="Arial" w:cs="Arial"/>
          <w:i/>
          <w:sz w:val="24"/>
          <w:szCs w:val="24"/>
          <w:u w:val="single"/>
        </w:rPr>
      </w:pPr>
    </w:p>
    <w:p w14:paraId="010705E1" w14:textId="77777777" w:rsidR="007D54CE" w:rsidRPr="00C1475A" w:rsidRDefault="007D54CE" w:rsidP="007D54CE">
      <w:pPr>
        <w:pStyle w:val="NoSpacing"/>
        <w:rPr>
          <w:rFonts w:ascii="Arial" w:hAnsi="Arial" w:cs="Arial"/>
          <w:iCs/>
          <w:color w:val="000066"/>
          <w:sz w:val="24"/>
          <w:szCs w:val="24"/>
        </w:rPr>
      </w:pPr>
      <w:r w:rsidRPr="00C1475A">
        <w:rPr>
          <w:rFonts w:ascii="Arial" w:hAnsi="Arial" w:cs="Arial"/>
          <w:iCs/>
          <w:color w:val="000066"/>
          <w:sz w:val="24"/>
          <w:szCs w:val="24"/>
        </w:rPr>
        <w:t>In This Update</w:t>
      </w:r>
    </w:p>
    <w:p w14:paraId="1CD06031" w14:textId="77777777" w:rsidR="007D54CE" w:rsidRPr="00C1475A" w:rsidRDefault="007D54CE" w:rsidP="00B62E6A">
      <w:pPr>
        <w:pStyle w:val="NoSpacing"/>
        <w:spacing w:before="120"/>
        <w:rPr>
          <w:rFonts w:ascii="Arial" w:hAnsi="Arial" w:cs="Arial"/>
          <w:i/>
          <w:color w:val="000066"/>
          <w:sz w:val="24"/>
          <w:szCs w:val="24"/>
          <w:u w:val="single"/>
        </w:rPr>
      </w:pPr>
    </w:p>
    <w:p w14:paraId="34741D74" w14:textId="77777777" w:rsidR="00C1475A" w:rsidRPr="00A3697F" w:rsidRDefault="00396DB3" w:rsidP="00A3697F">
      <w:pPr>
        <w:pStyle w:val="TOC1"/>
        <w:spacing w:before="120"/>
        <w:rPr>
          <w:rFonts w:ascii="Arial" w:eastAsiaTheme="minorEastAsia" w:hAnsi="Arial" w:cs="Arial"/>
          <w:noProof/>
          <w:color w:val="000066"/>
          <w:kern w:val="2"/>
          <w:sz w:val="22"/>
          <w14:ligatures w14:val="standardContextual"/>
        </w:rPr>
      </w:pPr>
      <w:r w:rsidRPr="00A3697F">
        <w:rPr>
          <w:rFonts w:ascii="Arial" w:hAnsi="Arial" w:cs="Arial"/>
          <w:i/>
          <w:color w:val="000066"/>
          <w:szCs w:val="24"/>
        </w:rPr>
        <w:fldChar w:fldCharType="begin"/>
      </w:r>
      <w:r w:rsidRPr="00A3697F">
        <w:rPr>
          <w:rFonts w:ascii="Arial" w:hAnsi="Arial" w:cs="Arial"/>
          <w:i/>
          <w:color w:val="000066"/>
          <w:szCs w:val="24"/>
        </w:rPr>
        <w:instrText xml:space="preserve"> TOC \o "1-3" \n \h \z \u </w:instrText>
      </w:r>
      <w:r w:rsidRPr="00A3697F">
        <w:rPr>
          <w:rFonts w:ascii="Arial" w:hAnsi="Arial" w:cs="Arial"/>
          <w:i/>
          <w:color w:val="000066"/>
          <w:szCs w:val="24"/>
        </w:rPr>
        <w:fldChar w:fldCharType="separate"/>
      </w:r>
      <w:hyperlink w:anchor="_Toc149648024" w:history="1">
        <w:r w:rsidR="00C1475A" w:rsidRPr="00A3697F">
          <w:rPr>
            <w:rStyle w:val="Hyperlink"/>
            <w:rFonts w:ascii="Arial" w:hAnsi="Arial" w:cs="Arial"/>
            <w:noProof/>
            <w:color w:val="000066"/>
          </w:rPr>
          <w:t>CMS Red Hand Consumer Alert Icon</w:t>
        </w:r>
      </w:hyperlink>
    </w:p>
    <w:p w14:paraId="659AACB3" w14:textId="77777777" w:rsidR="00C1475A" w:rsidRPr="00A3697F" w:rsidRDefault="009C72AE" w:rsidP="00A3697F">
      <w:pPr>
        <w:pStyle w:val="TOC1"/>
        <w:spacing w:before="120"/>
        <w:rPr>
          <w:rFonts w:ascii="Arial" w:eastAsiaTheme="minorEastAsia" w:hAnsi="Arial" w:cs="Arial"/>
          <w:noProof/>
          <w:color w:val="000066"/>
          <w:kern w:val="2"/>
          <w:sz w:val="22"/>
          <w14:ligatures w14:val="standardContextual"/>
        </w:rPr>
      </w:pPr>
      <w:hyperlink w:anchor="_Toc149648025" w:history="1">
        <w:r w:rsidR="00C1475A" w:rsidRPr="00A3697F">
          <w:rPr>
            <w:rStyle w:val="Hyperlink"/>
            <w:rFonts w:ascii="Arial" w:hAnsi="Arial" w:cs="Arial"/>
            <w:noProof/>
            <w:color w:val="000066"/>
          </w:rPr>
          <w:t>Confirming Debt Service Coverage Ratio Before Underwriting Review Begins</w:t>
        </w:r>
      </w:hyperlink>
    </w:p>
    <w:p w14:paraId="6E0E6047" w14:textId="79E04CC1" w:rsidR="00743DDB" w:rsidRPr="00C1475A" w:rsidRDefault="00396DB3" w:rsidP="00B62E6A">
      <w:pPr>
        <w:spacing w:before="120"/>
        <w:rPr>
          <w:rFonts w:ascii="Arial" w:hAnsi="Arial" w:cs="Arial"/>
          <w:iCs/>
          <w:szCs w:val="24"/>
        </w:rPr>
      </w:pPr>
      <w:r w:rsidRPr="00A3697F">
        <w:rPr>
          <w:rFonts w:ascii="Arial" w:hAnsi="Arial" w:cs="Arial"/>
          <w:i/>
          <w:color w:val="000066"/>
          <w:szCs w:val="24"/>
        </w:rPr>
        <w:fldChar w:fldCharType="end"/>
      </w:r>
    </w:p>
    <w:p w14:paraId="5A625462" w14:textId="77777777" w:rsidR="000112A7" w:rsidRPr="00C1475A" w:rsidRDefault="000112A7" w:rsidP="00863472">
      <w:pPr>
        <w:rPr>
          <w:rFonts w:ascii="Arial" w:hAnsi="Arial" w:cs="Arial"/>
          <w:iCs/>
          <w:szCs w:val="24"/>
        </w:rPr>
      </w:pPr>
    </w:p>
    <w:p w14:paraId="23B17F93" w14:textId="04AAB908" w:rsidR="00C1475A" w:rsidRPr="00C1475A" w:rsidRDefault="00C1475A" w:rsidP="00C1475A">
      <w:pPr>
        <w:pStyle w:val="EmailBlast"/>
        <w:rPr>
          <w:sz w:val="24"/>
          <w:szCs w:val="24"/>
        </w:rPr>
      </w:pPr>
      <w:bookmarkStart w:id="1" w:name="_Toc380585836"/>
      <w:bookmarkStart w:id="2" w:name="_Toc149648024"/>
      <w:bookmarkStart w:id="3" w:name="_Hlk137620511"/>
      <w:bookmarkEnd w:id="1"/>
      <w:r w:rsidRPr="00C1475A">
        <w:rPr>
          <w:sz w:val="24"/>
          <w:szCs w:val="24"/>
        </w:rPr>
        <w:t>CMS Red Hand Consumer Alert Icon</w:t>
      </w:r>
      <w:bookmarkEnd w:id="2"/>
    </w:p>
    <w:p w14:paraId="6B77FE18" w14:textId="3A445A1E" w:rsidR="00C1475A" w:rsidRPr="0082152B" w:rsidRDefault="00C1475A" w:rsidP="00C1475A">
      <w:pPr>
        <w:rPr>
          <w:rFonts w:ascii="Arial" w:hAnsi="Arial" w:cs="Arial"/>
          <w:szCs w:val="24"/>
        </w:rPr>
      </w:pPr>
      <w:r w:rsidRPr="0082152B">
        <w:rPr>
          <w:rFonts w:ascii="Arial" w:hAnsi="Arial" w:cs="Arial"/>
          <w:szCs w:val="24"/>
        </w:rPr>
        <w:t xml:space="preserve">ORCF has received inquiries from lenders regarding underwriting of projects with the </w:t>
      </w:r>
      <w:r w:rsidR="00146B99" w:rsidRPr="0082152B">
        <w:rPr>
          <w:rFonts w:ascii="Arial" w:hAnsi="Arial" w:cs="Arial"/>
          <w:szCs w:val="24"/>
        </w:rPr>
        <w:t>Centers for Medicare and Medicaid Services (</w:t>
      </w:r>
      <w:r w:rsidRPr="0082152B">
        <w:rPr>
          <w:rFonts w:ascii="Arial" w:hAnsi="Arial" w:cs="Arial"/>
          <w:szCs w:val="24"/>
        </w:rPr>
        <w:t>CMS</w:t>
      </w:r>
      <w:r w:rsidR="00146B99" w:rsidRPr="0082152B">
        <w:rPr>
          <w:rFonts w:ascii="Arial" w:hAnsi="Arial" w:cs="Arial"/>
          <w:szCs w:val="24"/>
        </w:rPr>
        <w:t>)</w:t>
      </w:r>
      <w:r w:rsidRPr="0082152B">
        <w:rPr>
          <w:rFonts w:ascii="Arial" w:hAnsi="Arial" w:cs="Arial"/>
          <w:szCs w:val="24"/>
        </w:rPr>
        <w:t xml:space="preserve"> Red Hand Consumer Alert Icon.  Successful applications have included a 3-month quality of care debt service reserve escrow, a one-time risk management assessment that has been complete prior to application submission, an analysis of the impact of </w:t>
      </w:r>
      <w:r w:rsidR="00146B99" w:rsidRPr="0082152B">
        <w:rPr>
          <w:rFonts w:ascii="Arial" w:hAnsi="Arial" w:cs="Arial"/>
          <w:szCs w:val="24"/>
        </w:rPr>
        <w:t xml:space="preserve">the </w:t>
      </w:r>
      <w:r w:rsidRPr="0082152B">
        <w:rPr>
          <w:rFonts w:ascii="Arial" w:hAnsi="Arial" w:cs="Arial"/>
          <w:szCs w:val="24"/>
        </w:rPr>
        <w:t xml:space="preserve">consumer alert icon on the marketability and occupancy of the project, and have addressed the items in the </w:t>
      </w:r>
      <w:hyperlink r:id="rId12" w:history="1">
        <w:r w:rsidRPr="0082152B">
          <w:rPr>
            <w:rStyle w:val="Hyperlink"/>
            <w:rFonts w:ascii="Arial" w:hAnsi="Arial" w:cs="Arial"/>
            <w:szCs w:val="24"/>
          </w:rPr>
          <w:t>December 19, 2018 Email Blast</w:t>
        </w:r>
      </w:hyperlink>
      <w:r w:rsidRPr="0082152B">
        <w:rPr>
          <w:rFonts w:ascii="Arial" w:hAnsi="Arial" w:cs="Arial"/>
          <w:szCs w:val="24"/>
        </w:rPr>
        <w:t>. </w:t>
      </w:r>
    </w:p>
    <w:p w14:paraId="755BDACC" w14:textId="77777777" w:rsidR="00C1475A" w:rsidRPr="0082152B" w:rsidRDefault="00C1475A" w:rsidP="00C1475A">
      <w:pPr>
        <w:rPr>
          <w:rFonts w:ascii="Arial" w:hAnsi="Arial" w:cs="Arial"/>
          <w:szCs w:val="24"/>
        </w:rPr>
      </w:pPr>
    </w:p>
    <w:p w14:paraId="5FE5BC84" w14:textId="325BA454" w:rsidR="00C1475A" w:rsidRPr="0082152B" w:rsidRDefault="00C1475A" w:rsidP="00C1475A">
      <w:pPr>
        <w:rPr>
          <w:rFonts w:ascii="Arial" w:hAnsi="Arial" w:cs="Arial"/>
          <w:szCs w:val="24"/>
        </w:rPr>
      </w:pPr>
      <w:r w:rsidRPr="0082152B">
        <w:rPr>
          <w:rFonts w:ascii="Arial" w:hAnsi="Arial" w:cs="Arial"/>
          <w:szCs w:val="24"/>
        </w:rPr>
        <w:t xml:space="preserve">Criteria for the one-time on-site risk management assessment </w:t>
      </w:r>
      <w:r w:rsidR="00146B99" w:rsidRPr="0082152B">
        <w:rPr>
          <w:rFonts w:ascii="Arial" w:hAnsi="Arial" w:cs="Arial"/>
          <w:szCs w:val="24"/>
        </w:rPr>
        <w:t>is described below.</w:t>
      </w:r>
    </w:p>
    <w:p w14:paraId="1B9DCC4F" w14:textId="77777777" w:rsidR="00146B99" w:rsidRPr="0082152B" w:rsidRDefault="00146B99" w:rsidP="00C1475A">
      <w:pPr>
        <w:rPr>
          <w:rFonts w:ascii="Arial" w:hAnsi="Arial" w:cs="Arial"/>
          <w:szCs w:val="24"/>
        </w:rPr>
      </w:pPr>
    </w:p>
    <w:p w14:paraId="0B7E1043" w14:textId="581C7C2D" w:rsidR="00C1475A" w:rsidRPr="0082152B" w:rsidRDefault="00C1475A" w:rsidP="00C1475A">
      <w:pPr>
        <w:rPr>
          <w:rFonts w:ascii="Arial" w:hAnsi="Arial" w:cs="Arial"/>
          <w:szCs w:val="24"/>
        </w:rPr>
      </w:pPr>
      <w:r w:rsidRPr="0082152B">
        <w:rPr>
          <w:rFonts w:ascii="Arial" w:hAnsi="Arial" w:cs="Arial"/>
          <w:szCs w:val="24"/>
        </w:rPr>
        <w:t xml:space="preserve">The consultant must have demonstrated successful experience in risk management for healthcare facilities to conduct a one-time, on-site risk management assessment.  The one-time on-site </w:t>
      </w:r>
      <w:r w:rsidR="00146B99" w:rsidRPr="0082152B">
        <w:rPr>
          <w:rFonts w:ascii="Arial" w:hAnsi="Arial" w:cs="Arial"/>
          <w:szCs w:val="24"/>
        </w:rPr>
        <w:t>r</w:t>
      </w:r>
      <w:r w:rsidRPr="0082152B">
        <w:rPr>
          <w:rFonts w:ascii="Arial" w:hAnsi="Arial" w:cs="Arial"/>
          <w:szCs w:val="24"/>
        </w:rPr>
        <w:t xml:space="preserve">isk </w:t>
      </w:r>
      <w:r w:rsidR="00146B99" w:rsidRPr="0082152B">
        <w:rPr>
          <w:rFonts w:ascii="Arial" w:hAnsi="Arial" w:cs="Arial"/>
          <w:szCs w:val="24"/>
        </w:rPr>
        <w:t>m</w:t>
      </w:r>
      <w:r w:rsidRPr="0082152B">
        <w:rPr>
          <w:rFonts w:ascii="Arial" w:hAnsi="Arial" w:cs="Arial"/>
          <w:szCs w:val="24"/>
        </w:rPr>
        <w:t xml:space="preserve">anagement </w:t>
      </w:r>
      <w:r w:rsidR="00146B99" w:rsidRPr="0082152B">
        <w:rPr>
          <w:rFonts w:ascii="Arial" w:hAnsi="Arial" w:cs="Arial"/>
          <w:szCs w:val="24"/>
        </w:rPr>
        <w:t>a</w:t>
      </w:r>
      <w:r w:rsidRPr="0082152B">
        <w:rPr>
          <w:rFonts w:ascii="Arial" w:hAnsi="Arial" w:cs="Arial"/>
          <w:szCs w:val="24"/>
        </w:rPr>
        <w:t xml:space="preserve">ssessment must include the following: </w:t>
      </w:r>
    </w:p>
    <w:p w14:paraId="7E429AED" w14:textId="024998C6" w:rsidR="00C1475A" w:rsidRPr="0082152B" w:rsidRDefault="00C1475A" w:rsidP="00C1475A">
      <w:pPr>
        <w:numPr>
          <w:ilvl w:val="1"/>
          <w:numId w:val="45"/>
        </w:numPr>
        <w:spacing w:before="120"/>
        <w:rPr>
          <w:rFonts w:ascii="Arial" w:hAnsi="Arial" w:cs="Arial"/>
          <w:szCs w:val="24"/>
        </w:rPr>
      </w:pPr>
      <w:r w:rsidRPr="0082152B">
        <w:rPr>
          <w:rFonts w:ascii="Arial" w:hAnsi="Arial" w:cs="Arial"/>
          <w:szCs w:val="24"/>
        </w:rPr>
        <w:t>Review of both operational and clinical processes</w:t>
      </w:r>
      <w:r w:rsidR="00146B99" w:rsidRPr="0082152B">
        <w:rPr>
          <w:rFonts w:ascii="Arial" w:hAnsi="Arial" w:cs="Arial"/>
          <w:szCs w:val="24"/>
        </w:rPr>
        <w:t>.</w:t>
      </w:r>
    </w:p>
    <w:p w14:paraId="5C3E65F7" w14:textId="289AB2DF" w:rsidR="00C1475A" w:rsidRPr="0082152B" w:rsidRDefault="00C1475A" w:rsidP="00C1475A">
      <w:pPr>
        <w:numPr>
          <w:ilvl w:val="1"/>
          <w:numId w:val="45"/>
        </w:numPr>
        <w:spacing w:before="120"/>
        <w:rPr>
          <w:rFonts w:ascii="Arial" w:hAnsi="Arial" w:cs="Arial"/>
          <w:szCs w:val="24"/>
        </w:rPr>
      </w:pPr>
      <w:r w:rsidRPr="0082152B">
        <w:rPr>
          <w:rFonts w:ascii="Arial" w:hAnsi="Arial" w:cs="Arial"/>
          <w:szCs w:val="24"/>
        </w:rPr>
        <w:t>Review of the environment for liability risk exposures</w:t>
      </w:r>
      <w:r w:rsidR="00146B99" w:rsidRPr="0082152B">
        <w:rPr>
          <w:rFonts w:ascii="Arial" w:hAnsi="Arial" w:cs="Arial"/>
          <w:szCs w:val="24"/>
        </w:rPr>
        <w:t>.</w:t>
      </w:r>
    </w:p>
    <w:p w14:paraId="60DA95E9" w14:textId="1253AAB4" w:rsidR="00C1475A" w:rsidRPr="0082152B" w:rsidRDefault="00C1475A" w:rsidP="00C1475A">
      <w:pPr>
        <w:numPr>
          <w:ilvl w:val="1"/>
          <w:numId w:val="45"/>
        </w:numPr>
        <w:spacing w:before="120"/>
        <w:rPr>
          <w:rFonts w:ascii="Arial" w:hAnsi="Arial" w:cs="Arial"/>
          <w:szCs w:val="24"/>
        </w:rPr>
      </w:pPr>
      <w:r w:rsidRPr="0082152B">
        <w:rPr>
          <w:rFonts w:ascii="Arial" w:hAnsi="Arial" w:cs="Arial"/>
          <w:szCs w:val="24"/>
        </w:rPr>
        <w:t>Identification of operational and clinical opportunities</w:t>
      </w:r>
      <w:r w:rsidR="00146B99" w:rsidRPr="0082152B">
        <w:rPr>
          <w:rFonts w:ascii="Arial" w:hAnsi="Arial" w:cs="Arial"/>
          <w:szCs w:val="24"/>
        </w:rPr>
        <w:t>.</w:t>
      </w:r>
    </w:p>
    <w:p w14:paraId="3CB5FC0A" w14:textId="2C463347" w:rsidR="00C1475A" w:rsidRPr="0082152B" w:rsidRDefault="00C1475A" w:rsidP="00C1475A">
      <w:pPr>
        <w:numPr>
          <w:ilvl w:val="1"/>
          <w:numId w:val="45"/>
        </w:numPr>
        <w:spacing w:before="120"/>
        <w:rPr>
          <w:rFonts w:ascii="Arial" w:hAnsi="Arial" w:cs="Arial"/>
          <w:szCs w:val="24"/>
        </w:rPr>
      </w:pPr>
      <w:r w:rsidRPr="0082152B">
        <w:rPr>
          <w:rFonts w:ascii="Arial" w:hAnsi="Arial" w:cs="Arial"/>
          <w:szCs w:val="24"/>
        </w:rPr>
        <w:t>Making recommendations for improvement of operational and clinical processes</w:t>
      </w:r>
      <w:r w:rsidR="00146B99" w:rsidRPr="0082152B">
        <w:rPr>
          <w:rFonts w:ascii="Arial" w:hAnsi="Arial" w:cs="Arial"/>
          <w:szCs w:val="24"/>
        </w:rPr>
        <w:t>.</w:t>
      </w:r>
    </w:p>
    <w:p w14:paraId="2C92D0CB" w14:textId="77777777" w:rsidR="00C1475A" w:rsidRPr="0082152B" w:rsidRDefault="00C1475A" w:rsidP="00C1475A">
      <w:pPr>
        <w:numPr>
          <w:ilvl w:val="1"/>
          <w:numId w:val="45"/>
        </w:numPr>
        <w:spacing w:before="120"/>
        <w:rPr>
          <w:rFonts w:ascii="Arial" w:hAnsi="Arial" w:cs="Arial"/>
          <w:szCs w:val="24"/>
        </w:rPr>
      </w:pPr>
      <w:r w:rsidRPr="0082152B">
        <w:rPr>
          <w:rFonts w:ascii="Arial" w:hAnsi="Arial" w:cs="Arial"/>
          <w:szCs w:val="24"/>
        </w:rPr>
        <w:t>Developing a strategy to implement the recommendations.</w:t>
      </w:r>
    </w:p>
    <w:p w14:paraId="281838BA" w14:textId="77777777" w:rsidR="00EC2C20" w:rsidRPr="0082152B" w:rsidRDefault="00EC2C20" w:rsidP="00EC2C20">
      <w:pPr>
        <w:rPr>
          <w:rFonts w:ascii="Arial" w:hAnsi="Arial" w:cs="Arial"/>
          <w:szCs w:val="24"/>
        </w:rPr>
      </w:pPr>
    </w:p>
    <w:p w14:paraId="4445033F" w14:textId="03D739EC" w:rsidR="00EC2C20" w:rsidRPr="0082152B" w:rsidRDefault="00EC2C20" w:rsidP="00EC2C20">
      <w:pPr>
        <w:rPr>
          <w:rFonts w:ascii="Arial" w:hAnsi="Arial" w:cs="Arial"/>
          <w:szCs w:val="24"/>
        </w:rPr>
      </w:pPr>
      <w:r w:rsidRPr="0082152B">
        <w:rPr>
          <w:rFonts w:ascii="Arial" w:hAnsi="Arial" w:cs="Arial"/>
          <w:b/>
          <w:bCs/>
          <w:i/>
          <w:iCs/>
          <w:szCs w:val="24"/>
        </w:rPr>
        <w:t xml:space="preserve">Keywords: </w:t>
      </w:r>
      <w:r w:rsidR="00C1475A" w:rsidRPr="0082152B">
        <w:rPr>
          <w:rFonts w:ascii="Arial" w:hAnsi="Arial" w:cs="Arial"/>
          <w:i/>
          <w:iCs/>
          <w:szCs w:val="24"/>
        </w:rPr>
        <w:t>Underwriting</w:t>
      </w:r>
    </w:p>
    <w:p w14:paraId="6A7B9F14" w14:textId="7B1903EC" w:rsidR="00B2122A" w:rsidRPr="00C1475A" w:rsidRDefault="00B2122A" w:rsidP="00B2122A">
      <w:pPr>
        <w:rPr>
          <w:rFonts w:ascii="Arial" w:eastAsia="MS Mincho" w:hAnsi="Arial" w:cs="Arial"/>
          <w:b/>
          <w:szCs w:val="24"/>
        </w:rPr>
      </w:pPr>
    </w:p>
    <w:p w14:paraId="682647E3" w14:textId="77777777" w:rsidR="00B7164F" w:rsidRPr="00C1475A" w:rsidRDefault="009C72AE" w:rsidP="00B7164F">
      <w:pPr>
        <w:rPr>
          <w:rFonts w:ascii="Arial" w:hAnsi="Arial" w:cs="Arial"/>
          <w:b/>
          <w:color w:val="365F91" w:themeColor="accent1" w:themeShade="BF"/>
          <w:szCs w:val="24"/>
        </w:rPr>
      </w:pPr>
      <w:hyperlink w:anchor="_top" w:history="1">
        <w:r w:rsidR="00B7164F" w:rsidRPr="00C1475A">
          <w:rPr>
            <w:rFonts w:ascii="Arial" w:hAnsi="Arial" w:cs="Arial"/>
            <w:color w:val="365F91" w:themeColor="accent1" w:themeShade="BF"/>
            <w:szCs w:val="24"/>
            <w:u w:val="single"/>
          </w:rPr>
          <w:t>Back to top</w:t>
        </w:r>
      </w:hyperlink>
    </w:p>
    <w:bookmarkEnd w:id="3"/>
    <w:p w14:paraId="6EE3B758" w14:textId="77777777" w:rsidR="003B1D3F" w:rsidRPr="00C1475A" w:rsidRDefault="003B1D3F" w:rsidP="00997C33">
      <w:pPr>
        <w:rPr>
          <w:rFonts w:ascii="Arial" w:hAnsi="Arial" w:cs="Arial"/>
          <w:szCs w:val="24"/>
        </w:rPr>
      </w:pPr>
    </w:p>
    <w:p w14:paraId="627A745A" w14:textId="29641F60" w:rsidR="00C1475A" w:rsidRPr="00C1475A" w:rsidRDefault="00C1475A" w:rsidP="00C1475A">
      <w:pPr>
        <w:pStyle w:val="EmailBlast"/>
        <w:rPr>
          <w:color w:val="000000"/>
          <w:sz w:val="24"/>
          <w:szCs w:val="24"/>
        </w:rPr>
      </w:pPr>
      <w:bookmarkStart w:id="4" w:name="_Toc149648025"/>
      <w:bookmarkStart w:id="5" w:name="_Toc396209070"/>
      <w:bookmarkStart w:id="6" w:name="_Toc107392097"/>
      <w:r w:rsidRPr="00C1475A">
        <w:rPr>
          <w:sz w:val="24"/>
          <w:szCs w:val="24"/>
        </w:rPr>
        <w:lastRenderedPageBreak/>
        <w:t>Confirming Debt Service Coverage Ratio Before Underwriting Review Begins</w:t>
      </w:r>
      <w:bookmarkEnd w:id="4"/>
    </w:p>
    <w:p w14:paraId="0ECE8208" w14:textId="73F54F18" w:rsidR="00C1475A" w:rsidRPr="0082152B" w:rsidRDefault="00C1475A" w:rsidP="00C1475A">
      <w:pPr>
        <w:autoSpaceDE w:val="0"/>
        <w:autoSpaceDN w:val="0"/>
        <w:adjustRightInd w:val="0"/>
        <w:rPr>
          <w:rFonts w:ascii="Arial" w:hAnsi="Arial" w:cs="Arial"/>
          <w:szCs w:val="24"/>
        </w:rPr>
      </w:pPr>
      <w:r w:rsidRPr="0082152B">
        <w:rPr>
          <w:rFonts w:ascii="Arial" w:hAnsi="Arial" w:cs="Arial"/>
          <w:szCs w:val="24"/>
        </w:rPr>
        <w:t>As a reminder, the expected minimum underwritten Debt Service Coverage Ratio (DSCR) is 1.45, as set forth in Handbook</w:t>
      </w:r>
      <w:r w:rsidR="000F2BAD" w:rsidRPr="0082152B">
        <w:rPr>
          <w:rFonts w:ascii="Arial" w:hAnsi="Arial" w:cs="Arial"/>
          <w:szCs w:val="24"/>
        </w:rPr>
        <w:t xml:space="preserve"> 4232.1</w:t>
      </w:r>
      <w:r w:rsidRPr="0082152B">
        <w:rPr>
          <w:rFonts w:ascii="Arial" w:hAnsi="Arial" w:cs="Arial"/>
          <w:szCs w:val="24"/>
        </w:rPr>
        <w:t>, Production Chapter 3.2.  Moreover, when arriving at the underwritten revenue and expenses used to calculate Net Operating Income (NOI) used for the DSCR, the lender must consider the historic and trailing twelve-month (T12) performance.  (See Handbook</w:t>
      </w:r>
      <w:r w:rsidR="000F2BAD" w:rsidRPr="0082152B">
        <w:rPr>
          <w:rFonts w:ascii="Arial" w:hAnsi="Arial" w:cs="Arial"/>
          <w:szCs w:val="24"/>
        </w:rPr>
        <w:t xml:space="preserve"> 4232.1</w:t>
      </w:r>
      <w:r w:rsidRPr="0082152B">
        <w:rPr>
          <w:rFonts w:ascii="Arial" w:hAnsi="Arial" w:cs="Arial"/>
          <w:szCs w:val="24"/>
        </w:rPr>
        <w:t>, Production</w:t>
      </w:r>
      <w:r w:rsidR="00A3697F" w:rsidRPr="0082152B">
        <w:rPr>
          <w:rFonts w:ascii="Arial" w:hAnsi="Arial" w:cs="Arial"/>
          <w:szCs w:val="24"/>
        </w:rPr>
        <w:t>,</w:t>
      </w:r>
      <w:r w:rsidRPr="0082152B">
        <w:rPr>
          <w:rFonts w:ascii="Arial" w:hAnsi="Arial" w:cs="Arial"/>
          <w:szCs w:val="24"/>
        </w:rPr>
        <w:t xml:space="preserve"> Chapter 2.9.N.)</w:t>
      </w:r>
    </w:p>
    <w:p w14:paraId="235F1E83" w14:textId="77777777" w:rsidR="00C1475A" w:rsidRPr="0082152B" w:rsidRDefault="00C1475A" w:rsidP="00C1475A">
      <w:pPr>
        <w:autoSpaceDE w:val="0"/>
        <w:autoSpaceDN w:val="0"/>
        <w:adjustRightInd w:val="0"/>
        <w:rPr>
          <w:rFonts w:ascii="Arial" w:hAnsi="Arial" w:cs="Arial"/>
          <w:szCs w:val="24"/>
        </w:rPr>
      </w:pPr>
    </w:p>
    <w:p w14:paraId="13224482" w14:textId="1D7BE520" w:rsidR="00C1475A" w:rsidRPr="0082152B" w:rsidRDefault="00C1475A" w:rsidP="00C1475A">
      <w:pPr>
        <w:autoSpaceDE w:val="0"/>
        <w:autoSpaceDN w:val="0"/>
        <w:adjustRightInd w:val="0"/>
        <w:rPr>
          <w:rFonts w:ascii="Arial" w:hAnsi="Arial" w:cs="Arial"/>
          <w:szCs w:val="24"/>
        </w:rPr>
      </w:pPr>
      <w:r w:rsidRPr="0082152B">
        <w:rPr>
          <w:rFonts w:ascii="Arial" w:hAnsi="Arial" w:cs="Arial"/>
          <w:szCs w:val="24"/>
        </w:rPr>
        <w:t xml:space="preserve">Although the NOI arrived at by the lender during underwriting will not necessarily be equal to the T12 NOI, ORCF generally uses that figure as a benchmark to discern when a project </w:t>
      </w:r>
      <w:r w:rsidR="00146B99" w:rsidRPr="0082152B">
        <w:rPr>
          <w:rFonts w:ascii="Arial" w:hAnsi="Arial" w:cs="Arial"/>
          <w:szCs w:val="24"/>
        </w:rPr>
        <w:t>is</w:t>
      </w:r>
      <w:r w:rsidRPr="0082152B">
        <w:rPr>
          <w:rFonts w:ascii="Arial" w:hAnsi="Arial" w:cs="Arial"/>
          <w:szCs w:val="24"/>
        </w:rPr>
        <w:t xml:space="preserve"> ready for underwriting review</w:t>
      </w:r>
      <w:r w:rsidR="0054270C" w:rsidRPr="0082152B">
        <w:rPr>
          <w:rFonts w:ascii="Arial" w:hAnsi="Arial" w:cs="Arial"/>
          <w:szCs w:val="24"/>
        </w:rPr>
        <w:t xml:space="preserve"> </w:t>
      </w:r>
      <w:r w:rsidRPr="0082152B">
        <w:rPr>
          <w:rFonts w:ascii="Arial" w:hAnsi="Arial" w:cs="Arial"/>
          <w:szCs w:val="24"/>
        </w:rPr>
        <w:t xml:space="preserve">(See </w:t>
      </w:r>
      <w:hyperlink r:id="rId13" w:history="1">
        <w:r w:rsidRPr="0082152B">
          <w:rPr>
            <w:rStyle w:val="Hyperlink"/>
            <w:rFonts w:ascii="Arial" w:hAnsi="Arial" w:cs="Arial"/>
            <w:szCs w:val="24"/>
          </w:rPr>
          <w:t>May 9, 202</w:t>
        </w:r>
        <w:r w:rsidR="0054270C" w:rsidRPr="0082152B">
          <w:rPr>
            <w:rStyle w:val="Hyperlink"/>
            <w:rFonts w:ascii="Arial" w:hAnsi="Arial" w:cs="Arial"/>
            <w:szCs w:val="24"/>
          </w:rPr>
          <w:t>2 Email Blast</w:t>
        </w:r>
      </w:hyperlink>
      <w:r w:rsidRPr="0082152B">
        <w:rPr>
          <w:rFonts w:ascii="Arial" w:hAnsi="Arial" w:cs="Arial"/>
          <w:szCs w:val="24"/>
        </w:rPr>
        <w:t>)</w:t>
      </w:r>
      <w:r w:rsidR="0054270C" w:rsidRPr="0082152B">
        <w:rPr>
          <w:rFonts w:ascii="Arial" w:hAnsi="Arial" w:cs="Arial"/>
          <w:szCs w:val="24"/>
        </w:rPr>
        <w:t>.</w:t>
      </w:r>
      <w:r w:rsidRPr="0082152B">
        <w:rPr>
          <w:rFonts w:ascii="Arial" w:hAnsi="Arial" w:cs="Arial"/>
          <w:szCs w:val="24"/>
        </w:rPr>
        <w:t xml:space="preserve">  This was necessary given the</w:t>
      </w:r>
      <w:r w:rsidR="00146B99" w:rsidRPr="0082152B">
        <w:rPr>
          <w:rFonts w:ascii="Arial" w:hAnsi="Arial" w:cs="Arial"/>
          <w:szCs w:val="24"/>
        </w:rPr>
        <w:t xml:space="preserve"> wide</w:t>
      </w:r>
      <w:r w:rsidRPr="0082152B">
        <w:rPr>
          <w:rFonts w:ascii="Arial" w:hAnsi="Arial" w:cs="Arial"/>
          <w:szCs w:val="24"/>
        </w:rPr>
        <w:t xml:space="preserve"> </w:t>
      </w:r>
      <w:r w:rsidR="00146B99" w:rsidRPr="0082152B">
        <w:rPr>
          <w:rFonts w:ascii="Arial" w:hAnsi="Arial" w:cs="Arial"/>
          <w:szCs w:val="24"/>
        </w:rPr>
        <w:t>p</w:t>
      </w:r>
      <w:r w:rsidRPr="0082152B">
        <w:rPr>
          <w:rFonts w:ascii="Arial" w:hAnsi="Arial" w:cs="Arial"/>
          <w:szCs w:val="24"/>
        </w:rPr>
        <w:t xml:space="preserve">andemic-related fluctuations in income and expenses.  As facilities have been recovering from the pandemic and their NOI </w:t>
      </w:r>
      <w:r w:rsidR="00146B99" w:rsidRPr="0082152B">
        <w:rPr>
          <w:rFonts w:ascii="Arial" w:hAnsi="Arial" w:cs="Arial"/>
          <w:szCs w:val="24"/>
        </w:rPr>
        <w:t xml:space="preserve">is </w:t>
      </w:r>
      <w:r w:rsidRPr="0082152B">
        <w:rPr>
          <w:rFonts w:ascii="Arial" w:hAnsi="Arial" w:cs="Arial"/>
          <w:szCs w:val="24"/>
        </w:rPr>
        <w:t xml:space="preserve">trending upward, however, </w:t>
      </w:r>
      <w:r w:rsidR="00146B99" w:rsidRPr="0082152B">
        <w:rPr>
          <w:rFonts w:ascii="Arial" w:hAnsi="Arial" w:cs="Arial"/>
          <w:szCs w:val="24"/>
        </w:rPr>
        <w:t>this</w:t>
      </w:r>
      <w:r w:rsidR="00A3697F" w:rsidRPr="0082152B">
        <w:rPr>
          <w:rFonts w:ascii="Arial" w:hAnsi="Arial" w:cs="Arial"/>
          <w:szCs w:val="24"/>
        </w:rPr>
        <w:t xml:space="preserve"> </w:t>
      </w:r>
      <w:r w:rsidRPr="0082152B">
        <w:rPr>
          <w:rFonts w:ascii="Arial" w:hAnsi="Arial" w:cs="Arial"/>
          <w:szCs w:val="24"/>
        </w:rPr>
        <w:t xml:space="preserve">screening benchmark appears to be unnecessarily delaying the underwriting review of numerous projects in which the underwritten NOI would appropriately be higher than the T12 NOI.  </w:t>
      </w:r>
    </w:p>
    <w:p w14:paraId="24AAFC8E" w14:textId="77777777" w:rsidR="00C1475A" w:rsidRPr="0082152B" w:rsidRDefault="00C1475A" w:rsidP="00C1475A">
      <w:pPr>
        <w:autoSpaceDE w:val="0"/>
        <w:autoSpaceDN w:val="0"/>
        <w:adjustRightInd w:val="0"/>
        <w:rPr>
          <w:rFonts w:ascii="Arial" w:hAnsi="Arial" w:cs="Arial"/>
          <w:szCs w:val="24"/>
        </w:rPr>
      </w:pPr>
    </w:p>
    <w:p w14:paraId="4EA79872" w14:textId="2CEACE09" w:rsidR="00C1475A" w:rsidRPr="0082152B" w:rsidRDefault="00C1475A" w:rsidP="00C1475A">
      <w:pPr>
        <w:autoSpaceDE w:val="0"/>
        <w:autoSpaceDN w:val="0"/>
        <w:rPr>
          <w:rFonts w:ascii="Arial" w:hAnsi="Arial" w:cs="Arial"/>
          <w:szCs w:val="24"/>
        </w:rPr>
      </w:pPr>
      <w:r w:rsidRPr="0082152B">
        <w:rPr>
          <w:rFonts w:ascii="Arial" w:hAnsi="Arial" w:cs="Arial"/>
          <w:szCs w:val="24"/>
        </w:rPr>
        <w:t xml:space="preserve">Accordingly, ORCF is adjusting the benchmark used to initiate underwriting review.  In addition to the previously established benchmark of 1.45 DSCR on the T12, ORCF is generally willing to consider a T12 adjusted for a new published Medicaid Rate offset by some increase in expenses </w:t>
      </w:r>
      <w:r w:rsidRPr="0082152B">
        <w:rPr>
          <w:rFonts w:ascii="Arial" w:hAnsi="Arial" w:cs="Arial"/>
          <w:b/>
          <w:bCs/>
          <w:szCs w:val="24"/>
        </w:rPr>
        <w:t>and</w:t>
      </w:r>
      <w:r w:rsidRPr="0082152B">
        <w:rPr>
          <w:rFonts w:ascii="Arial" w:hAnsi="Arial" w:cs="Arial"/>
          <w:szCs w:val="24"/>
        </w:rPr>
        <w:t xml:space="preserve"> an annualized T6 for purposes of initiating the review.  </w:t>
      </w:r>
      <w:r w:rsidR="00146B99" w:rsidRPr="0082152B">
        <w:rPr>
          <w:rFonts w:ascii="Arial" w:hAnsi="Arial" w:cs="Arial"/>
          <w:szCs w:val="24"/>
        </w:rPr>
        <w:t>S</w:t>
      </w:r>
      <w:r w:rsidRPr="0082152B">
        <w:rPr>
          <w:rFonts w:ascii="Arial" w:hAnsi="Arial" w:cs="Arial"/>
          <w:szCs w:val="24"/>
        </w:rPr>
        <w:t>pecifically, lenders may provide a sensitivity comparing the following two calculations:</w:t>
      </w:r>
    </w:p>
    <w:p w14:paraId="0E90247C" w14:textId="77777777" w:rsidR="00C1475A" w:rsidRPr="0082152B" w:rsidRDefault="00C1475A" w:rsidP="00C1475A">
      <w:pPr>
        <w:autoSpaceDE w:val="0"/>
        <w:autoSpaceDN w:val="0"/>
        <w:rPr>
          <w:rFonts w:ascii="Arial" w:hAnsi="Arial" w:cs="Arial"/>
          <w:szCs w:val="24"/>
        </w:rPr>
      </w:pPr>
    </w:p>
    <w:p w14:paraId="4AD45F12" w14:textId="77777777" w:rsidR="00C1475A" w:rsidRPr="0082152B" w:rsidRDefault="00C1475A" w:rsidP="000F2BAD">
      <w:pPr>
        <w:pStyle w:val="ListParagraph"/>
        <w:numPr>
          <w:ilvl w:val="0"/>
          <w:numId w:val="46"/>
        </w:numPr>
        <w:autoSpaceDE w:val="0"/>
        <w:autoSpaceDN w:val="0"/>
        <w:spacing w:before="120"/>
        <w:rPr>
          <w:rFonts w:ascii="Arial" w:eastAsia="Times New Roman" w:hAnsi="Arial" w:cs="Arial"/>
        </w:rPr>
      </w:pPr>
      <w:r w:rsidRPr="0082152B">
        <w:rPr>
          <w:rFonts w:ascii="Arial" w:eastAsia="Times New Roman" w:hAnsi="Arial" w:cs="Arial"/>
        </w:rPr>
        <w:t>T6 actual NOI annualized (no adjustments for rate increases may be applied</w:t>
      </w:r>
      <w:proofErr w:type="gramStart"/>
      <w:r w:rsidRPr="0082152B">
        <w:rPr>
          <w:rFonts w:ascii="Arial" w:eastAsia="Times New Roman" w:hAnsi="Arial" w:cs="Arial"/>
        </w:rPr>
        <w:t>);</w:t>
      </w:r>
      <w:proofErr w:type="gramEnd"/>
    </w:p>
    <w:p w14:paraId="50500DF4" w14:textId="77777777" w:rsidR="00C1475A" w:rsidRPr="0082152B" w:rsidRDefault="00C1475A" w:rsidP="000F2BAD">
      <w:pPr>
        <w:pStyle w:val="ListParagraph"/>
        <w:autoSpaceDE w:val="0"/>
        <w:autoSpaceDN w:val="0"/>
        <w:spacing w:before="120"/>
        <w:rPr>
          <w:rFonts w:ascii="Arial" w:hAnsi="Arial" w:cs="Arial"/>
          <w:b/>
          <w:bCs/>
          <w:i/>
          <w:iCs/>
        </w:rPr>
      </w:pPr>
      <w:r w:rsidRPr="0082152B">
        <w:rPr>
          <w:rFonts w:ascii="Arial" w:hAnsi="Arial" w:cs="Arial"/>
          <w:b/>
          <w:bCs/>
          <w:i/>
          <w:iCs/>
        </w:rPr>
        <w:t>and</w:t>
      </w:r>
    </w:p>
    <w:p w14:paraId="2A34305E" w14:textId="77777777" w:rsidR="00C1475A" w:rsidRPr="0082152B" w:rsidRDefault="00C1475A" w:rsidP="000F2BAD">
      <w:pPr>
        <w:pStyle w:val="ListParagraph"/>
        <w:numPr>
          <w:ilvl w:val="0"/>
          <w:numId w:val="46"/>
        </w:numPr>
        <w:autoSpaceDE w:val="0"/>
        <w:autoSpaceDN w:val="0"/>
        <w:spacing w:before="120"/>
        <w:rPr>
          <w:rFonts w:ascii="Arial" w:eastAsia="Times New Roman" w:hAnsi="Arial" w:cs="Arial"/>
        </w:rPr>
      </w:pPr>
      <w:r w:rsidRPr="0082152B">
        <w:rPr>
          <w:rFonts w:ascii="Arial" w:eastAsia="Times New Roman" w:hAnsi="Arial" w:cs="Arial"/>
        </w:rPr>
        <w:t>T12 NOI adjusted to reflect a documented increase in Medicaid rate, if applicable, offset by some increase in expenses. The offset can be achieved by applying a reasonable, stabilized historical operating margin to the increased revenue.  Any documented rate increases must be in effect as of the date of the T12.</w:t>
      </w:r>
    </w:p>
    <w:p w14:paraId="2F30611D" w14:textId="77777777" w:rsidR="00C1475A" w:rsidRPr="0082152B" w:rsidRDefault="00C1475A" w:rsidP="00C1475A">
      <w:pPr>
        <w:rPr>
          <w:rFonts w:ascii="Arial" w:hAnsi="Arial" w:cs="Arial"/>
          <w:szCs w:val="24"/>
        </w:rPr>
      </w:pPr>
    </w:p>
    <w:p w14:paraId="6E0A5CA4" w14:textId="72F540D6" w:rsidR="00C1475A" w:rsidRPr="0082152B" w:rsidRDefault="00C1475A" w:rsidP="00C1475A">
      <w:pPr>
        <w:rPr>
          <w:rFonts w:ascii="Arial" w:hAnsi="Arial" w:cs="Arial"/>
          <w:szCs w:val="24"/>
        </w:rPr>
      </w:pPr>
      <w:r w:rsidRPr="0082152B">
        <w:rPr>
          <w:rFonts w:ascii="Arial" w:hAnsi="Arial" w:cs="Arial"/>
          <w:szCs w:val="24"/>
        </w:rPr>
        <w:t xml:space="preserve">When utilizing the above adjustments, in the Decision Circuit lenders should provide </w:t>
      </w:r>
      <w:r w:rsidR="00146B99" w:rsidRPr="0082152B">
        <w:rPr>
          <w:rFonts w:ascii="Arial" w:hAnsi="Arial" w:cs="Arial"/>
          <w:szCs w:val="24"/>
        </w:rPr>
        <w:t xml:space="preserve">a </w:t>
      </w:r>
      <w:r w:rsidRPr="0082152B">
        <w:rPr>
          <w:rFonts w:ascii="Arial" w:hAnsi="Arial" w:cs="Arial"/>
          <w:szCs w:val="24"/>
        </w:rPr>
        <w:t>column with the T12 without adjustments, a T12 adjusted for a new published Medicaid Rate (in a yellow column), as applicable, and the annualized T6 (in a yellow column).</w:t>
      </w:r>
    </w:p>
    <w:p w14:paraId="623E1377" w14:textId="77777777" w:rsidR="007E03EA" w:rsidRPr="0082152B" w:rsidRDefault="007E03EA" w:rsidP="0053493B">
      <w:pPr>
        <w:pStyle w:val="EmailBlast"/>
        <w:spacing w:after="0"/>
        <w:rPr>
          <w:sz w:val="24"/>
          <w:szCs w:val="24"/>
        </w:rPr>
      </w:pPr>
    </w:p>
    <w:p w14:paraId="47D95DC0" w14:textId="0EA97C24" w:rsidR="007E03EA" w:rsidRPr="0082152B" w:rsidRDefault="007E03EA" w:rsidP="0053493B">
      <w:pPr>
        <w:rPr>
          <w:rFonts w:ascii="Arial" w:hAnsi="Arial" w:cs="Arial"/>
          <w:szCs w:val="24"/>
        </w:rPr>
      </w:pPr>
      <w:r w:rsidRPr="0082152B">
        <w:rPr>
          <w:rFonts w:ascii="Arial" w:hAnsi="Arial" w:cs="Arial"/>
          <w:b/>
          <w:bCs/>
          <w:i/>
          <w:iCs/>
          <w:szCs w:val="24"/>
        </w:rPr>
        <w:t xml:space="preserve">Keywords: </w:t>
      </w:r>
      <w:r w:rsidR="00C1475A" w:rsidRPr="0082152B">
        <w:rPr>
          <w:rFonts w:ascii="Arial" w:hAnsi="Arial" w:cs="Arial"/>
          <w:i/>
          <w:iCs/>
          <w:szCs w:val="24"/>
        </w:rPr>
        <w:t>Underwriting</w:t>
      </w:r>
    </w:p>
    <w:p w14:paraId="64BA90B0" w14:textId="77777777" w:rsidR="00071985" w:rsidRPr="00C1475A" w:rsidRDefault="00071985" w:rsidP="0053493B">
      <w:pPr>
        <w:rPr>
          <w:rFonts w:ascii="Arial" w:eastAsia="MS Mincho" w:hAnsi="Arial" w:cs="Arial"/>
          <w:b/>
          <w:szCs w:val="24"/>
        </w:rPr>
      </w:pPr>
    </w:p>
    <w:p w14:paraId="02A777D9" w14:textId="77777777" w:rsidR="007E03EA" w:rsidRPr="00C1475A" w:rsidRDefault="009C72AE" w:rsidP="007E03EA">
      <w:pPr>
        <w:rPr>
          <w:rFonts w:ascii="Arial" w:hAnsi="Arial" w:cs="Arial"/>
          <w:b/>
          <w:color w:val="365F91" w:themeColor="accent1" w:themeShade="BF"/>
          <w:szCs w:val="24"/>
        </w:rPr>
      </w:pPr>
      <w:hyperlink w:anchor="_top" w:history="1">
        <w:r w:rsidR="007E03EA" w:rsidRPr="00C1475A">
          <w:rPr>
            <w:rFonts w:ascii="Arial" w:hAnsi="Arial" w:cs="Arial"/>
            <w:color w:val="365F91" w:themeColor="accent1" w:themeShade="BF"/>
            <w:szCs w:val="24"/>
            <w:u w:val="single"/>
          </w:rPr>
          <w:t>Back to top</w:t>
        </w:r>
      </w:hyperlink>
    </w:p>
    <w:bookmarkEnd w:id="0"/>
    <w:bookmarkEnd w:id="5"/>
    <w:bookmarkEnd w:id="6"/>
    <w:p w14:paraId="7F5F0FD1" w14:textId="137C7997" w:rsidR="00740D11" w:rsidRPr="00C1475A" w:rsidRDefault="008D40DE" w:rsidP="00740D11">
      <w:pPr>
        <w:rPr>
          <w:rFonts w:ascii="Arial" w:eastAsia="MS Mincho" w:hAnsi="Arial" w:cs="Arial"/>
          <w:b/>
          <w:szCs w:val="24"/>
        </w:rPr>
      </w:pPr>
      <w:r w:rsidRPr="00C1475A">
        <w:rPr>
          <w:rFonts w:ascii="Arial" w:eastAsia="MS Mincho" w:hAnsi="Arial" w:cs="Arial"/>
          <w:b/>
          <w:noProof/>
          <w:szCs w:val="24"/>
        </w:rPr>
        <mc:AlternateContent>
          <mc:Choice Requires="wps">
            <w:drawing>
              <wp:anchor distT="0" distB="0" distL="114300" distR="114300" simplePos="0" relativeHeight="251659264" behindDoc="0" locked="0" layoutInCell="1" allowOverlap="1" wp14:anchorId="1D3FFB79" wp14:editId="3A9F0A47">
                <wp:simplePos x="0" y="0"/>
                <wp:positionH relativeFrom="column">
                  <wp:posOffset>0</wp:posOffset>
                </wp:positionH>
                <wp:positionV relativeFrom="paragraph">
                  <wp:posOffset>86995</wp:posOffset>
                </wp:positionV>
                <wp:extent cx="5740400" cy="3175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5740400" cy="31750"/>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F23D6C"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6.85pt" to="45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" strokecolor="#17365d [2415]" strokeweight="1.5pt"/>
            </w:pict>
          </mc:Fallback>
        </mc:AlternateContent>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5678B" w:rsidRPr="00C1475A" w14:paraId="209D4D79" w14:textId="77777777" w:rsidTr="00094BC8">
        <w:trPr>
          <w:tblCellSpacing w:w="0" w:type="dxa"/>
          <w:jc w:val="center"/>
        </w:trPr>
        <w:tc>
          <w:tcPr>
            <w:tcW w:w="0" w:type="auto"/>
            <w:tcMar>
              <w:top w:w="300" w:type="dxa"/>
              <w:left w:w="0" w:type="dxa"/>
              <w:bottom w:w="150" w:type="dxa"/>
              <w:right w:w="0" w:type="dxa"/>
            </w:tcMar>
            <w:vAlign w:val="center"/>
            <w:hideMark/>
          </w:tcPr>
          <w:p w14:paraId="3EFE8846" w14:textId="77777777" w:rsidR="00E5678B" w:rsidRPr="00C1475A" w:rsidRDefault="00E5678B" w:rsidP="00094BC8">
            <w:pPr>
              <w:pStyle w:val="NormalWeb"/>
              <w:spacing w:before="120"/>
              <w:jc w:val="center"/>
              <w:rPr>
                <w:rFonts w:ascii="Calibri" w:hAnsi="Calibri"/>
              </w:rPr>
            </w:pPr>
            <w:r w:rsidRPr="00C1475A">
              <w:rPr>
                <w:rFonts w:ascii="Arial" w:hAnsi="Arial" w:cs="Arial"/>
              </w:rPr>
              <w:t xml:space="preserve">Past Lean 232 Updates are </w:t>
            </w:r>
            <w:hyperlink r:id="rId14" w:tgtFrame="_blank" w:history="1">
              <w:r w:rsidRPr="00C1475A">
                <w:rPr>
                  <w:rStyle w:val="Hyperlink"/>
                  <w:rFonts w:ascii="Arial" w:hAnsi="Arial" w:cs="Arial"/>
                </w:rPr>
                <w:t>available online</w:t>
              </w:r>
            </w:hyperlink>
            <w:r w:rsidRPr="00C1475A">
              <w:rPr>
                <w:rFonts w:ascii="Arial" w:hAnsi="Arial" w:cs="Arial"/>
              </w:rPr>
              <w:t>.</w:t>
            </w:r>
          </w:p>
          <w:p w14:paraId="45BEC197" w14:textId="77777777" w:rsidR="00E5678B" w:rsidRPr="00C1475A" w:rsidRDefault="00E5678B" w:rsidP="00094BC8">
            <w:pPr>
              <w:pStyle w:val="NormalWeb"/>
              <w:spacing w:before="120"/>
              <w:jc w:val="center"/>
            </w:pPr>
            <w:r w:rsidRPr="00C1475A">
              <w:rPr>
                <w:rFonts w:ascii="Arial" w:hAnsi="Arial" w:cs="Arial"/>
              </w:rPr>
              <w:lastRenderedPageBreak/>
              <w:t xml:space="preserve">Have questions about the Lean 232 Program? Please contact </w:t>
            </w:r>
            <w:hyperlink r:id="rId15" w:history="1">
              <w:r w:rsidRPr="00C1475A">
                <w:rPr>
                  <w:rStyle w:val="Hyperlink"/>
                  <w:rFonts w:ascii="Arial" w:hAnsi="Arial" w:cs="Arial"/>
                </w:rPr>
                <w:t>LeanThinking@hud.gov</w:t>
              </w:r>
            </w:hyperlink>
            <w:r w:rsidRPr="00C1475A">
              <w:rPr>
                <w:rFonts w:ascii="Arial" w:hAnsi="Arial" w:cs="Arial"/>
              </w:rPr>
              <w:t>.</w:t>
            </w:r>
          </w:p>
          <w:p w14:paraId="4215A7BB" w14:textId="77777777" w:rsidR="00E5678B" w:rsidRPr="00C1475A" w:rsidRDefault="00E5678B" w:rsidP="00094BC8">
            <w:pPr>
              <w:pStyle w:val="NormalWeb"/>
              <w:spacing w:before="120"/>
              <w:jc w:val="center"/>
            </w:pPr>
            <w:r w:rsidRPr="00C1475A">
              <w:rPr>
                <w:rFonts w:ascii="Arial" w:hAnsi="Arial" w:cs="Arial"/>
              </w:rPr>
              <w:t xml:space="preserve">For more information on the Lean 232 Program, check out: </w:t>
            </w:r>
            <w:hyperlink r:id="rId16" w:history="1">
              <w:r w:rsidRPr="00C1475A">
                <w:rPr>
                  <w:rStyle w:val="Hyperlink"/>
                  <w:rFonts w:ascii="Arial" w:hAnsi="Arial" w:cs="Arial"/>
                </w:rPr>
                <w:t>http://www.hud.gov/healthcare</w:t>
              </w:r>
            </w:hyperlink>
            <w:r w:rsidRPr="00C1475A">
              <w:rPr>
                <w:rFonts w:ascii="Arial" w:hAnsi="Arial" w:cs="Arial"/>
              </w:rPr>
              <w:t>.</w:t>
            </w:r>
          </w:p>
          <w:p w14:paraId="53D07DA9" w14:textId="77777777" w:rsidR="00E5678B" w:rsidRPr="00C1475A" w:rsidRDefault="00E5678B" w:rsidP="00094BC8">
            <w:pPr>
              <w:pStyle w:val="NormalWeb"/>
              <w:jc w:val="center"/>
            </w:pPr>
            <w:r w:rsidRPr="00C1475A">
              <w:t> </w:t>
            </w:r>
          </w:p>
          <w:p w14:paraId="0071963D" w14:textId="77777777" w:rsidR="00E5678B" w:rsidRPr="00C1475A" w:rsidRDefault="00E5678B" w:rsidP="00094BC8">
            <w:pPr>
              <w:pStyle w:val="NormalWeb"/>
              <w:jc w:val="center"/>
            </w:pPr>
            <w:r w:rsidRPr="00C1475A">
              <w:rPr>
                <w:rFonts w:ascii="Arial" w:hAnsi="Arial" w:cs="Arial"/>
              </w:rPr>
              <w:t>Stay Connected with the Office of Housing and the Federal Housing Administration:</w:t>
            </w:r>
          </w:p>
        </w:tc>
      </w:tr>
      <w:tr w:rsidR="00E5678B" w:rsidRPr="00C1475A" w14:paraId="39381646" w14:textId="77777777" w:rsidTr="00094BC8">
        <w:trPr>
          <w:tblCellSpacing w:w="0" w:type="dxa"/>
          <w:jc w:val="center"/>
        </w:trPr>
        <w:tc>
          <w:tcPr>
            <w:tcW w:w="0" w:type="auto"/>
            <w:tcMar>
              <w:top w:w="150" w:type="dxa"/>
              <w:left w:w="150" w:type="dxa"/>
              <w:bottom w:w="150" w:type="dxa"/>
              <w:right w:w="150" w:type="dxa"/>
            </w:tcMar>
            <w:vAlign w:val="center"/>
            <w:hideMark/>
          </w:tcPr>
          <w:p w14:paraId="4DB1CDFC" w14:textId="77777777" w:rsidR="00E5678B" w:rsidRPr="00C1475A" w:rsidRDefault="00E5678B" w:rsidP="00094BC8">
            <w:pPr>
              <w:jc w:val="center"/>
              <w:rPr>
                <w:rFonts w:eastAsia="Times New Roman"/>
                <w:szCs w:val="24"/>
              </w:rPr>
            </w:pPr>
            <w:r w:rsidRPr="00C1475A">
              <w:rPr>
                <w:rFonts w:ascii="Arial" w:eastAsia="Times New Roman" w:hAnsi="Arial" w:cs="Arial"/>
                <w:noProof/>
                <w:color w:val="0000FF"/>
                <w:szCs w:val="24"/>
              </w:rPr>
              <w:lastRenderedPageBreak/>
              <w:drawing>
                <wp:inline distT="0" distB="0" distL="0" distR="0" wp14:anchorId="61465648" wp14:editId="6268FF5E">
                  <wp:extent cx="304800" cy="304800"/>
                  <wp:effectExtent l="0" t="0" r="0" b="0"/>
                  <wp:docPr id="4" name="Picture 4" descr="Twitter">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1475A">
              <w:rPr>
                <w:rFonts w:ascii="Arial" w:eastAsia="Times New Roman" w:hAnsi="Arial" w:cs="Arial"/>
                <w:szCs w:val="24"/>
              </w:rPr>
              <w:t>  </w:t>
            </w:r>
            <w:r w:rsidRPr="00C1475A">
              <w:rPr>
                <w:rFonts w:ascii="Arial" w:eastAsia="Times New Roman" w:hAnsi="Arial" w:cs="Arial"/>
                <w:noProof/>
                <w:color w:val="0000FF"/>
                <w:szCs w:val="24"/>
              </w:rPr>
              <w:drawing>
                <wp:inline distT="0" distB="0" distL="0" distR="0" wp14:anchorId="7119929C" wp14:editId="7D1A663A">
                  <wp:extent cx="304800" cy="304800"/>
                  <wp:effectExtent l="0" t="0" r="0" b="0"/>
                  <wp:docPr id="5" name="Picture 5" descr="LinkedIn">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edI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1475A">
              <w:rPr>
                <w:rFonts w:ascii="Arial" w:eastAsia="Times New Roman" w:hAnsi="Arial" w:cs="Arial"/>
                <w:szCs w:val="24"/>
              </w:rPr>
              <w:t> </w:t>
            </w:r>
          </w:p>
        </w:tc>
      </w:tr>
      <w:tr w:rsidR="00E5678B" w:rsidRPr="00C1475A" w14:paraId="28D728D6" w14:textId="77777777" w:rsidTr="00094BC8">
        <w:trPr>
          <w:tblCellSpacing w:w="0" w:type="dxa"/>
          <w:jc w:val="center"/>
        </w:trPr>
        <w:tc>
          <w:tcPr>
            <w:tcW w:w="0" w:type="auto"/>
            <w:tcMar>
              <w:top w:w="150" w:type="dxa"/>
              <w:left w:w="0" w:type="dxa"/>
              <w:bottom w:w="300" w:type="dxa"/>
              <w:right w:w="0" w:type="dxa"/>
            </w:tcMar>
            <w:vAlign w:val="center"/>
            <w:hideMark/>
          </w:tcPr>
          <w:p w14:paraId="37BB55CB" w14:textId="77777777" w:rsidR="00E5678B" w:rsidRPr="00C1475A" w:rsidRDefault="00E5678B" w:rsidP="00094BC8">
            <w:pPr>
              <w:jc w:val="center"/>
              <w:rPr>
                <w:rFonts w:ascii="Arial" w:eastAsia="Times New Roman" w:hAnsi="Arial" w:cs="Arial"/>
                <w:szCs w:val="24"/>
              </w:rPr>
            </w:pPr>
            <w:r w:rsidRPr="00C1475A">
              <w:rPr>
                <w:rFonts w:ascii="Arial" w:eastAsia="Times New Roman" w:hAnsi="Arial" w:cs="Arial"/>
                <w:szCs w:val="24"/>
              </w:rPr>
              <w:t>SUBSCRIBER SERVICES:</w:t>
            </w:r>
            <w:r w:rsidRPr="00C1475A">
              <w:rPr>
                <w:rFonts w:ascii="Arial" w:eastAsia="Times New Roman" w:hAnsi="Arial" w:cs="Arial"/>
                <w:szCs w:val="24"/>
              </w:rPr>
              <w:br/>
            </w:r>
            <w:hyperlink r:id="rId21" w:tooltip="Manage Subscriptions" w:history="1">
              <w:r w:rsidRPr="00C1475A">
                <w:rPr>
                  <w:rStyle w:val="Hyperlink"/>
                  <w:rFonts w:ascii="Arial" w:eastAsia="Times New Roman" w:hAnsi="Arial" w:cs="Arial"/>
                  <w:szCs w:val="24"/>
                </w:rPr>
                <w:t>Manage Subscriptions</w:t>
              </w:r>
            </w:hyperlink>
            <w:r w:rsidRPr="00C1475A">
              <w:rPr>
                <w:rFonts w:ascii="Arial" w:eastAsia="Times New Roman" w:hAnsi="Arial" w:cs="Arial"/>
                <w:szCs w:val="24"/>
              </w:rPr>
              <w:t xml:space="preserve">  |  </w:t>
            </w:r>
            <w:hyperlink r:id="rId22" w:history="1">
              <w:r w:rsidRPr="00C1475A">
                <w:rPr>
                  <w:rStyle w:val="Hyperlink"/>
                  <w:rFonts w:ascii="Arial" w:eastAsia="Times New Roman" w:hAnsi="Arial" w:cs="Arial"/>
                  <w:szCs w:val="24"/>
                </w:rPr>
                <w:t>Help</w:t>
              </w:r>
            </w:hyperlink>
            <w:r w:rsidRPr="00C1475A">
              <w:rPr>
                <w:rFonts w:ascii="Arial" w:eastAsia="Times New Roman" w:hAnsi="Arial" w:cs="Arial"/>
                <w:szCs w:val="24"/>
              </w:rPr>
              <w:t xml:space="preserve"> </w:t>
            </w:r>
          </w:p>
        </w:tc>
      </w:tr>
    </w:tbl>
    <w:p w14:paraId="6E0E606B" w14:textId="2AA10C3B" w:rsidR="00605E4A" w:rsidRPr="00C1475A" w:rsidRDefault="00605E4A" w:rsidP="00740D11">
      <w:pPr>
        <w:rPr>
          <w:szCs w:val="24"/>
        </w:rPr>
      </w:pPr>
    </w:p>
    <w:sectPr w:rsidR="00605E4A" w:rsidRPr="00C1475A" w:rsidSect="00E217E8">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63A65" w14:textId="77777777" w:rsidR="00CF2F0E" w:rsidRDefault="00CF2F0E" w:rsidP="00E724F7">
      <w:r>
        <w:separator/>
      </w:r>
    </w:p>
  </w:endnote>
  <w:endnote w:type="continuationSeparator" w:id="0">
    <w:p w14:paraId="23B3C127" w14:textId="77777777" w:rsidR="00CF2F0E" w:rsidRDefault="00CF2F0E" w:rsidP="00E724F7">
      <w:r>
        <w:continuationSeparator/>
      </w:r>
    </w:p>
  </w:endnote>
  <w:endnote w:type="continuationNotice" w:id="1">
    <w:p w14:paraId="6EF56A2B" w14:textId="77777777" w:rsidR="00CF2F0E" w:rsidRDefault="00CF2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10518" w14:textId="77777777" w:rsidR="00CF2F0E" w:rsidRDefault="00CF2F0E" w:rsidP="00E724F7">
      <w:r>
        <w:separator/>
      </w:r>
    </w:p>
  </w:footnote>
  <w:footnote w:type="continuationSeparator" w:id="0">
    <w:p w14:paraId="222C386B" w14:textId="77777777" w:rsidR="00CF2F0E" w:rsidRDefault="00CF2F0E" w:rsidP="00E724F7">
      <w:r>
        <w:continuationSeparator/>
      </w:r>
    </w:p>
  </w:footnote>
  <w:footnote w:type="continuationNotice" w:id="1">
    <w:p w14:paraId="7C56F6EC" w14:textId="77777777" w:rsidR="00CF2F0E" w:rsidRDefault="00CF2F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251132"/>
      <w:docPartObj>
        <w:docPartGallery w:val="Page Numbers (Top of Page)"/>
        <w:docPartUnique/>
      </w:docPartObj>
    </w:sdtPr>
    <w:sdtEndPr>
      <w:rPr>
        <w:noProof/>
      </w:rPr>
    </w:sdtEndPr>
    <w:sdtContent>
      <w:p w14:paraId="2DEBF715" w14:textId="1FEC6177" w:rsidR="0089592C" w:rsidRDefault="0089592C">
        <w:pPr>
          <w:pStyle w:val="Header"/>
          <w:jc w:val="right"/>
        </w:pPr>
        <w:r>
          <w:fldChar w:fldCharType="begin"/>
        </w:r>
        <w:r>
          <w:instrText xml:space="preserve"> PAGE   \* MERGEFORMAT </w:instrText>
        </w:r>
        <w:r>
          <w:fldChar w:fldCharType="separate"/>
        </w:r>
        <w:r w:rsidR="00D37F4F">
          <w:rPr>
            <w:noProof/>
          </w:rPr>
          <w:t>2</w:t>
        </w:r>
        <w:r>
          <w:rPr>
            <w:noProof/>
          </w:rPr>
          <w:fldChar w:fldCharType="end"/>
        </w:r>
      </w:p>
    </w:sdtContent>
  </w:sdt>
  <w:p w14:paraId="6E0E6076" w14:textId="190BDF75" w:rsidR="008F66AB" w:rsidRDefault="008F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0402"/>
    <w:multiLevelType w:val="multilevel"/>
    <w:tmpl w:val="E82E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11FA"/>
    <w:multiLevelType w:val="hybridMultilevel"/>
    <w:tmpl w:val="C9680E20"/>
    <w:lvl w:ilvl="0" w:tplc="45683D62">
      <w:start w:val="1"/>
      <w:numFmt w:val="bullet"/>
      <w:lvlText w:val=""/>
      <w:lvlJc w:val="left"/>
      <w:pPr>
        <w:ind w:left="720" w:hanging="360"/>
      </w:pPr>
      <w:rPr>
        <w:rFonts w:ascii="Symbol" w:hAnsi="Symbol" w:hint="default"/>
      </w:rPr>
    </w:lvl>
    <w:lvl w:ilvl="1" w:tplc="557614C0">
      <w:start w:val="1"/>
      <w:numFmt w:val="bullet"/>
      <w:lvlText w:val="o"/>
      <w:lvlJc w:val="left"/>
      <w:pPr>
        <w:ind w:left="1440" w:hanging="360"/>
      </w:pPr>
      <w:rPr>
        <w:rFonts w:ascii="Courier New" w:hAnsi="Courier New" w:hint="default"/>
      </w:rPr>
    </w:lvl>
    <w:lvl w:ilvl="2" w:tplc="6FE05B5A">
      <w:start w:val="1"/>
      <w:numFmt w:val="bullet"/>
      <w:lvlText w:val=""/>
      <w:lvlJc w:val="left"/>
      <w:pPr>
        <w:ind w:left="2160" w:hanging="360"/>
      </w:pPr>
      <w:rPr>
        <w:rFonts w:ascii="Wingdings" w:hAnsi="Wingdings" w:hint="default"/>
      </w:rPr>
    </w:lvl>
    <w:lvl w:ilvl="3" w:tplc="283AA088">
      <w:start w:val="1"/>
      <w:numFmt w:val="bullet"/>
      <w:lvlText w:val=""/>
      <w:lvlJc w:val="left"/>
      <w:pPr>
        <w:ind w:left="2880" w:hanging="360"/>
      </w:pPr>
      <w:rPr>
        <w:rFonts w:ascii="Symbol" w:hAnsi="Symbol" w:hint="default"/>
      </w:rPr>
    </w:lvl>
    <w:lvl w:ilvl="4" w:tplc="327895DE">
      <w:start w:val="1"/>
      <w:numFmt w:val="bullet"/>
      <w:lvlText w:val="o"/>
      <w:lvlJc w:val="left"/>
      <w:pPr>
        <w:ind w:left="3600" w:hanging="360"/>
      </w:pPr>
      <w:rPr>
        <w:rFonts w:ascii="Courier New" w:hAnsi="Courier New" w:hint="default"/>
      </w:rPr>
    </w:lvl>
    <w:lvl w:ilvl="5" w:tplc="FACAAA98">
      <w:start w:val="1"/>
      <w:numFmt w:val="bullet"/>
      <w:lvlText w:val=""/>
      <w:lvlJc w:val="left"/>
      <w:pPr>
        <w:ind w:left="4320" w:hanging="360"/>
      </w:pPr>
      <w:rPr>
        <w:rFonts w:ascii="Wingdings" w:hAnsi="Wingdings" w:hint="default"/>
      </w:rPr>
    </w:lvl>
    <w:lvl w:ilvl="6" w:tplc="0526FC6A">
      <w:start w:val="1"/>
      <w:numFmt w:val="bullet"/>
      <w:lvlText w:val=""/>
      <w:lvlJc w:val="left"/>
      <w:pPr>
        <w:ind w:left="5040" w:hanging="360"/>
      </w:pPr>
      <w:rPr>
        <w:rFonts w:ascii="Symbol" w:hAnsi="Symbol" w:hint="default"/>
      </w:rPr>
    </w:lvl>
    <w:lvl w:ilvl="7" w:tplc="3638561E">
      <w:start w:val="1"/>
      <w:numFmt w:val="bullet"/>
      <w:lvlText w:val="o"/>
      <w:lvlJc w:val="left"/>
      <w:pPr>
        <w:ind w:left="5760" w:hanging="360"/>
      </w:pPr>
      <w:rPr>
        <w:rFonts w:ascii="Courier New" w:hAnsi="Courier New" w:hint="default"/>
      </w:rPr>
    </w:lvl>
    <w:lvl w:ilvl="8" w:tplc="14567308">
      <w:start w:val="1"/>
      <w:numFmt w:val="bullet"/>
      <w:lvlText w:val=""/>
      <w:lvlJc w:val="left"/>
      <w:pPr>
        <w:ind w:left="6480" w:hanging="360"/>
      </w:pPr>
      <w:rPr>
        <w:rFonts w:ascii="Wingdings" w:hAnsi="Wingdings" w:hint="default"/>
      </w:rPr>
    </w:lvl>
  </w:abstractNum>
  <w:abstractNum w:abstractNumId="2" w15:restartNumberingAfterBreak="0">
    <w:nsid w:val="079A5A2C"/>
    <w:multiLevelType w:val="multilevel"/>
    <w:tmpl w:val="05CA9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266BB"/>
    <w:multiLevelType w:val="hybridMultilevel"/>
    <w:tmpl w:val="1C22A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E64CF"/>
    <w:multiLevelType w:val="multilevel"/>
    <w:tmpl w:val="54EA0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F57E3B"/>
    <w:multiLevelType w:val="hybridMultilevel"/>
    <w:tmpl w:val="BB8C606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9A15DE"/>
    <w:multiLevelType w:val="hybridMultilevel"/>
    <w:tmpl w:val="97F07530"/>
    <w:lvl w:ilvl="0" w:tplc="04090001">
      <w:start w:val="1"/>
      <w:numFmt w:val="bullet"/>
      <w:lvlText w:val=""/>
      <w:lvlJc w:val="left"/>
      <w:pPr>
        <w:ind w:left="890" w:hanging="360"/>
      </w:pPr>
      <w:rPr>
        <w:rFonts w:ascii="Symbol" w:hAnsi="Symbol"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7" w15:restartNumberingAfterBreak="0">
    <w:nsid w:val="14A52103"/>
    <w:multiLevelType w:val="hybridMultilevel"/>
    <w:tmpl w:val="C9B4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66AED"/>
    <w:multiLevelType w:val="multilevel"/>
    <w:tmpl w:val="BFAE1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5105E7"/>
    <w:multiLevelType w:val="hybridMultilevel"/>
    <w:tmpl w:val="7012DEFC"/>
    <w:lvl w:ilvl="0" w:tplc="922411F0">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D117AD"/>
    <w:multiLevelType w:val="hybridMultilevel"/>
    <w:tmpl w:val="B5B8E5CA"/>
    <w:lvl w:ilvl="0" w:tplc="3806C4AA">
      <w:start w:val="1"/>
      <w:numFmt w:val="bullet"/>
      <w:pStyle w:val="TOC1"/>
      <w:lvlText w:val=""/>
      <w:lvlJc w:val="left"/>
      <w:pPr>
        <w:ind w:left="720" w:hanging="360"/>
      </w:pPr>
      <w:rPr>
        <w:rFonts w:ascii="Symbol" w:hAnsi="Symbol" w:hint="default"/>
      </w:rPr>
    </w:lvl>
    <w:lvl w:ilvl="1" w:tplc="653E7BC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C1DF5"/>
    <w:multiLevelType w:val="multilevel"/>
    <w:tmpl w:val="107C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C76400"/>
    <w:multiLevelType w:val="hybridMultilevel"/>
    <w:tmpl w:val="09CE830C"/>
    <w:lvl w:ilvl="0" w:tplc="E47E5DFE">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15DE5"/>
    <w:multiLevelType w:val="hybridMultilevel"/>
    <w:tmpl w:val="E01294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AAB1CB1"/>
    <w:multiLevelType w:val="hybridMultilevel"/>
    <w:tmpl w:val="331872DA"/>
    <w:lvl w:ilvl="0" w:tplc="80BC115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2BF8004C"/>
    <w:multiLevelType w:val="hybridMultilevel"/>
    <w:tmpl w:val="2FF2CD30"/>
    <w:lvl w:ilvl="0" w:tplc="38D243DE">
      <w:start w:val="1"/>
      <w:numFmt w:val="decimal"/>
      <w:lvlText w:val="%1."/>
      <w:lvlJc w:val="left"/>
      <w:pPr>
        <w:ind w:left="1170" w:hanging="360"/>
      </w:pPr>
      <w:rPr>
        <w:color w:val="auto"/>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6"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8A48CE"/>
    <w:multiLevelType w:val="multilevel"/>
    <w:tmpl w:val="8272C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9D2932"/>
    <w:multiLevelType w:val="hybridMultilevel"/>
    <w:tmpl w:val="5E9CFD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AB32504"/>
    <w:multiLevelType w:val="multilevel"/>
    <w:tmpl w:val="A7DAF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C843F0"/>
    <w:multiLevelType w:val="hybridMultilevel"/>
    <w:tmpl w:val="27BA6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60388D"/>
    <w:multiLevelType w:val="hybridMultilevel"/>
    <w:tmpl w:val="8CE4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16059"/>
    <w:multiLevelType w:val="hybridMultilevel"/>
    <w:tmpl w:val="1668DD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56447F"/>
    <w:multiLevelType w:val="hybridMultilevel"/>
    <w:tmpl w:val="AF8298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463E0A70"/>
    <w:multiLevelType w:val="multilevel"/>
    <w:tmpl w:val="1FAEA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5021AC"/>
    <w:multiLevelType w:val="multilevel"/>
    <w:tmpl w:val="1D6E8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9733F5"/>
    <w:multiLevelType w:val="hybridMultilevel"/>
    <w:tmpl w:val="086C6AD6"/>
    <w:lvl w:ilvl="0" w:tplc="04090001">
      <w:start w:val="1"/>
      <w:numFmt w:val="bullet"/>
      <w:lvlText w:val=""/>
      <w:lvlJc w:val="left"/>
      <w:pPr>
        <w:ind w:left="851" w:hanging="360"/>
      </w:pPr>
      <w:rPr>
        <w:rFonts w:ascii="Symbol" w:hAnsi="Symbol" w:hint="default"/>
      </w:rPr>
    </w:lvl>
    <w:lvl w:ilvl="1" w:tplc="04090003">
      <w:start w:val="1"/>
      <w:numFmt w:val="bullet"/>
      <w:lvlText w:val="o"/>
      <w:lvlJc w:val="left"/>
      <w:pPr>
        <w:ind w:left="1571" w:hanging="360"/>
      </w:pPr>
      <w:rPr>
        <w:rFonts w:ascii="Courier New" w:hAnsi="Courier New" w:cs="Courier New" w:hint="default"/>
      </w:rPr>
    </w:lvl>
    <w:lvl w:ilvl="2" w:tplc="04090005">
      <w:start w:val="1"/>
      <w:numFmt w:val="bullet"/>
      <w:lvlText w:val=""/>
      <w:lvlJc w:val="left"/>
      <w:pPr>
        <w:ind w:left="2291" w:hanging="360"/>
      </w:pPr>
      <w:rPr>
        <w:rFonts w:ascii="Wingdings" w:hAnsi="Wingdings" w:hint="default"/>
      </w:rPr>
    </w:lvl>
    <w:lvl w:ilvl="3" w:tplc="04090001">
      <w:start w:val="1"/>
      <w:numFmt w:val="bullet"/>
      <w:lvlText w:val=""/>
      <w:lvlJc w:val="left"/>
      <w:pPr>
        <w:ind w:left="3011" w:hanging="360"/>
      </w:pPr>
      <w:rPr>
        <w:rFonts w:ascii="Symbol" w:hAnsi="Symbol" w:hint="default"/>
      </w:rPr>
    </w:lvl>
    <w:lvl w:ilvl="4" w:tplc="04090003">
      <w:start w:val="1"/>
      <w:numFmt w:val="bullet"/>
      <w:lvlText w:val="o"/>
      <w:lvlJc w:val="left"/>
      <w:pPr>
        <w:ind w:left="3731" w:hanging="360"/>
      </w:pPr>
      <w:rPr>
        <w:rFonts w:ascii="Courier New" w:hAnsi="Courier New" w:cs="Courier New" w:hint="default"/>
      </w:rPr>
    </w:lvl>
    <w:lvl w:ilvl="5" w:tplc="04090005">
      <w:start w:val="1"/>
      <w:numFmt w:val="bullet"/>
      <w:lvlText w:val=""/>
      <w:lvlJc w:val="left"/>
      <w:pPr>
        <w:ind w:left="4451" w:hanging="360"/>
      </w:pPr>
      <w:rPr>
        <w:rFonts w:ascii="Wingdings" w:hAnsi="Wingdings" w:hint="default"/>
      </w:rPr>
    </w:lvl>
    <w:lvl w:ilvl="6" w:tplc="04090001">
      <w:start w:val="1"/>
      <w:numFmt w:val="bullet"/>
      <w:lvlText w:val=""/>
      <w:lvlJc w:val="left"/>
      <w:pPr>
        <w:ind w:left="5171" w:hanging="360"/>
      </w:pPr>
      <w:rPr>
        <w:rFonts w:ascii="Symbol" w:hAnsi="Symbol" w:hint="default"/>
      </w:rPr>
    </w:lvl>
    <w:lvl w:ilvl="7" w:tplc="04090003">
      <w:start w:val="1"/>
      <w:numFmt w:val="bullet"/>
      <w:lvlText w:val="o"/>
      <w:lvlJc w:val="left"/>
      <w:pPr>
        <w:ind w:left="5891" w:hanging="360"/>
      </w:pPr>
      <w:rPr>
        <w:rFonts w:ascii="Courier New" w:hAnsi="Courier New" w:cs="Courier New" w:hint="default"/>
      </w:rPr>
    </w:lvl>
    <w:lvl w:ilvl="8" w:tplc="04090005">
      <w:start w:val="1"/>
      <w:numFmt w:val="bullet"/>
      <w:lvlText w:val=""/>
      <w:lvlJc w:val="left"/>
      <w:pPr>
        <w:ind w:left="6611" w:hanging="360"/>
      </w:pPr>
      <w:rPr>
        <w:rFonts w:ascii="Wingdings" w:hAnsi="Wingdings" w:hint="default"/>
      </w:rPr>
    </w:lvl>
  </w:abstractNum>
  <w:abstractNum w:abstractNumId="27" w15:restartNumberingAfterBreak="0">
    <w:nsid w:val="4BEF51CB"/>
    <w:multiLevelType w:val="hybridMultilevel"/>
    <w:tmpl w:val="261202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FDA1395"/>
    <w:multiLevelType w:val="multilevel"/>
    <w:tmpl w:val="03729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E341E4"/>
    <w:multiLevelType w:val="hybridMultilevel"/>
    <w:tmpl w:val="61F21F56"/>
    <w:lvl w:ilvl="0" w:tplc="5C56B926">
      <w:start w:val="1"/>
      <w:numFmt w:val="decimal"/>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BC4C26"/>
    <w:multiLevelType w:val="hybridMultilevel"/>
    <w:tmpl w:val="21D8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BA611D"/>
    <w:multiLevelType w:val="hybridMultilevel"/>
    <w:tmpl w:val="8C96C74A"/>
    <w:lvl w:ilvl="0" w:tplc="FCBA29B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0920FA7"/>
    <w:multiLevelType w:val="hybridMultilevel"/>
    <w:tmpl w:val="7658AD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5460C18"/>
    <w:multiLevelType w:val="hybridMultilevel"/>
    <w:tmpl w:val="2D86D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8A14B4"/>
    <w:multiLevelType w:val="hybridMultilevel"/>
    <w:tmpl w:val="6B24A63E"/>
    <w:lvl w:ilvl="0" w:tplc="04090001">
      <w:start w:val="1"/>
      <w:numFmt w:val="bullet"/>
      <w:lvlText w:val=""/>
      <w:lvlJc w:val="left"/>
      <w:pPr>
        <w:ind w:left="720" w:hanging="360"/>
      </w:pPr>
      <w:rPr>
        <w:rFonts w:ascii="Symbol" w:hAnsi="Symbol" w:hint="default"/>
      </w:rPr>
    </w:lvl>
    <w:lvl w:ilvl="1" w:tplc="DD5E1D4A">
      <w:numFmt w:val="bullet"/>
      <w:lvlText w:val="-"/>
      <w:lvlJc w:val="left"/>
      <w:pPr>
        <w:ind w:left="1440" w:hanging="360"/>
      </w:pPr>
      <w:rPr>
        <w:rFonts w:ascii="Bookman Old Style" w:eastAsia="Calibri" w:hAnsi="Bookman Old Style"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91C1D"/>
    <w:multiLevelType w:val="hybridMultilevel"/>
    <w:tmpl w:val="85F81B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DA3974"/>
    <w:multiLevelType w:val="hybridMultilevel"/>
    <w:tmpl w:val="CC34A566"/>
    <w:lvl w:ilvl="0" w:tplc="25A8280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73D92768"/>
    <w:multiLevelType w:val="hybridMultilevel"/>
    <w:tmpl w:val="876CA516"/>
    <w:lvl w:ilvl="0" w:tplc="5DC6FCDC">
      <w:start w:val="1"/>
      <w:numFmt w:val="decimal"/>
      <w:lvlText w:val="%1."/>
      <w:lvlJc w:val="left"/>
      <w:pPr>
        <w:ind w:left="1440" w:hanging="360"/>
      </w:pPr>
      <w:rPr>
        <w:rFonts w:ascii="Times New Roman" w:eastAsia="Calibri" w:hAnsi="Times New Roman" w:cs="Calibri"/>
      </w:rPr>
    </w:lvl>
    <w:lvl w:ilvl="1" w:tplc="EF681390">
      <w:start w:val="1"/>
      <w:numFmt w:val="lowerLetter"/>
      <w:lvlText w:val="%2."/>
      <w:lvlJc w:val="left"/>
      <w:pPr>
        <w:ind w:left="2160" w:hanging="360"/>
      </w:pPr>
      <w:rPr>
        <w:rFonts w:ascii="Times New Roman" w:eastAsia="Times New Roman" w:hAnsi="Times New Roman" w:cs="Times New Roman"/>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77A24F85"/>
    <w:multiLevelType w:val="hybridMultilevel"/>
    <w:tmpl w:val="C1625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DF86609"/>
    <w:multiLevelType w:val="hybridMultilevel"/>
    <w:tmpl w:val="E6887B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7F6B0B02"/>
    <w:multiLevelType w:val="hybridMultilevel"/>
    <w:tmpl w:val="A74A5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FFA6626"/>
    <w:multiLevelType w:val="hybridMultilevel"/>
    <w:tmpl w:val="11400D66"/>
    <w:lvl w:ilvl="0" w:tplc="04090005">
      <w:start w:val="1"/>
      <w:numFmt w:val="bullet"/>
      <w:lvlText w:val=""/>
      <w:lvlJc w:val="left"/>
      <w:pPr>
        <w:ind w:left="851" w:hanging="360"/>
      </w:pPr>
      <w:rPr>
        <w:rFonts w:ascii="Wingdings" w:hAnsi="Wingdings" w:hint="default"/>
      </w:rPr>
    </w:lvl>
    <w:lvl w:ilvl="1" w:tplc="FFFFFFFF">
      <w:start w:val="1"/>
      <w:numFmt w:val="bullet"/>
      <w:lvlText w:val="o"/>
      <w:lvlJc w:val="left"/>
      <w:pPr>
        <w:ind w:left="1571" w:hanging="360"/>
      </w:pPr>
      <w:rPr>
        <w:rFonts w:ascii="Courier New" w:hAnsi="Courier New" w:cs="Courier New" w:hint="default"/>
      </w:rPr>
    </w:lvl>
    <w:lvl w:ilvl="2" w:tplc="FFFFFFFF">
      <w:start w:val="1"/>
      <w:numFmt w:val="bullet"/>
      <w:lvlText w:val=""/>
      <w:lvlJc w:val="left"/>
      <w:pPr>
        <w:ind w:left="2291" w:hanging="360"/>
      </w:pPr>
      <w:rPr>
        <w:rFonts w:ascii="Wingdings" w:hAnsi="Wingdings" w:hint="default"/>
      </w:rPr>
    </w:lvl>
    <w:lvl w:ilvl="3" w:tplc="FFFFFFFF">
      <w:start w:val="1"/>
      <w:numFmt w:val="bullet"/>
      <w:lvlText w:val=""/>
      <w:lvlJc w:val="left"/>
      <w:pPr>
        <w:ind w:left="3011" w:hanging="360"/>
      </w:pPr>
      <w:rPr>
        <w:rFonts w:ascii="Symbol" w:hAnsi="Symbol" w:hint="default"/>
      </w:rPr>
    </w:lvl>
    <w:lvl w:ilvl="4" w:tplc="FFFFFFFF">
      <w:start w:val="1"/>
      <w:numFmt w:val="bullet"/>
      <w:lvlText w:val="o"/>
      <w:lvlJc w:val="left"/>
      <w:pPr>
        <w:ind w:left="3731" w:hanging="360"/>
      </w:pPr>
      <w:rPr>
        <w:rFonts w:ascii="Courier New" w:hAnsi="Courier New" w:cs="Courier New" w:hint="default"/>
      </w:rPr>
    </w:lvl>
    <w:lvl w:ilvl="5" w:tplc="FFFFFFFF">
      <w:start w:val="1"/>
      <w:numFmt w:val="bullet"/>
      <w:lvlText w:val=""/>
      <w:lvlJc w:val="left"/>
      <w:pPr>
        <w:ind w:left="4451" w:hanging="360"/>
      </w:pPr>
      <w:rPr>
        <w:rFonts w:ascii="Wingdings" w:hAnsi="Wingdings" w:hint="default"/>
      </w:rPr>
    </w:lvl>
    <w:lvl w:ilvl="6" w:tplc="FFFFFFFF">
      <w:start w:val="1"/>
      <w:numFmt w:val="bullet"/>
      <w:lvlText w:val=""/>
      <w:lvlJc w:val="left"/>
      <w:pPr>
        <w:ind w:left="5171" w:hanging="360"/>
      </w:pPr>
      <w:rPr>
        <w:rFonts w:ascii="Symbol" w:hAnsi="Symbol" w:hint="default"/>
      </w:rPr>
    </w:lvl>
    <w:lvl w:ilvl="7" w:tplc="FFFFFFFF">
      <w:start w:val="1"/>
      <w:numFmt w:val="bullet"/>
      <w:lvlText w:val="o"/>
      <w:lvlJc w:val="left"/>
      <w:pPr>
        <w:ind w:left="5891" w:hanging="360"/>
      </w:pPr>
      <w:rPr>
        <w:rFonts w:ascii="Courier New" w:hAnsi="Courier New" w:cs="Courier New" w:hint="default"/>
      </w:rPr>
    </w:lvl>
    <w:lvl w:ilvl="8" w:tplc="FFFFFFFF">
      <w:start w:val="1"/>
      <w:numFmt w:val="bullet"/>
      <w:lvlText w:val=""/>
      <w:lvlJc w:val="left"/>
      <w:pPr>
        <w:ind w:left="6611" w:hanging="360"/>
      </w:pPr>
      <w:rPr>
        <w:rFonts w:ascii="Wingdings" w:hAnsi="Wingdings" w:hint="default"/>
      </w:rPr>
    </w:lvl>
  </w:abstractNum>
  <w:num w:numId="1" w16cid:durableId="20522631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35281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41712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5601335">
    <w:abstractNumId w:val="16"/>
  </w:num>
  <w:num w:numId="5" w16cid:durableId="3818335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3759623">
    <w:abstractNumId w:val="15"/>
  </w:num>
  <w:num w:numId="7" w16cid:durableId="2071076737">
    <w:abstractNumId w:val="21"/>
  </w:num>
  <w:num w:numId="8" w16cid:durableId="4088171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418025">
    <w:abstractNumId w:val="6"/>
  </w:num>
  <w:num w:numId="10" w16cid:durableId="1273709628">
    <w:abstractNumId w:val="37"/>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194124965">
    <w:abstractNumId w:val="30"/>
  </w:num>
  <w:num w:numId="12" w16cid:durableId="787090072">
    <w:abstractNumId w:val="37"/>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2120249859">
    <w:abstractNumId w:val="14"/>
  </w:num>
  <w:num w:numId="14" w16cid:durableId="1040327154">
    <w:abstractNumId w:val="7"/>
  </w:num>
  <w:num w:numId="15" w16cid:durableId="1508443688">
    <w:abstractNumId w:val="38"/>
  </w:num>
  <w:num w:numId="16" w16cid:durableId="1866286705">
    <w:abstractNumId w:val="1"/>
  </w:num>
  <w:num w:numId="17" w16cid:durableId="956258601">
    <w:abstractNumId w:val="34"/>
  </w:num>
  <w:num w:numId="18" w16cid:durableId="8393478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77523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3145307">
    <w:abstractNumId w:val="0"/>
  </w:num>
  <w:num w:numId="21" w16cid:durableId="761873126">
    <w:abstractNumId w:val="11"/>
  </w:num>
  <w:num w:numId="22" w16cid:durableId="220873505">
    <w:abstractNumId w:val="8"/>
  </w:num>
  <w:num w:numId="23" w16cid:durableId="1456022646">
    <w:abstractNumId w:val="25"/>
  </w:num>
  <w:num w:numId="24" w16cid:durableId="1345979568">
    <w:abstractNumId w:val="4"/>
  </w:num>
  <w:num w:numId="25" w16cid:durableId="360977411">
    <w:abstractNumId w:val="17"/>
  </w:num>
  <w:num w:numId="26" w16cid:durableId="1964073458">
    <w:abstractNumId w:val="31"/>
  </w:num>
  <w:num w:numId="27" w16cid:durableId="665399667">
    <w:abstractNumId w:val="2"/>
  </w:num>
  <w:num w:numId="28" w16cid:durableId="1135684567">
    <w:abstractNumId w:val="28"/>
  </w:num>
  <w:num w:numId="29" w16cid:durableId="1468430753">
    <w:abstractNumId w:val="24"/>
  </w:num>
  <w:num w:numId="30" w16cid:durableId="1495563491">
    <w:abstractNumId w:val="19"/>
  </w:num>
  <w:num w:numId="31" w16cid:durableId="1228956529">
    <w:abstractNumId w:val="3"/>
  </w:num>
  <w:num w:numId="32" w16cid:durableId="883710768">
    <w:abstractNumId w:val="35"/>
  </w:num>
  <w:num w:numId="33" w16cid:durableId="4485493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64565851">
    <w:abstractNumId w:val="12"/>
  </w:num>
  <w:num w:numId="35" w16cid:durableId="2828982">
    <w:abstractNumId w:val="26"/>
  </w:num>
  <w:num w:numId="36" w16cid:durableId="421687077">
    <w:abstractNumId w:val="41"/>
  </w:num>
  <w:num w:numId="37" w16cid:durableId="1636644373">
    <w:abstractNumId w:val="40"/>
  </w:num>
  <w:num w:numId="38" w16cid:durableId="1961374453">
    <w:abstractNumId w:val="27"/>
  </w:num>
  <w:num w:numId="39" w16cid:durableId="1544245339">
    <w:abstractNumId w:val="32"/>
  </w:num>
  <w:num w:numId="40" w16cid:durableId="1141535342">
    <w:abstractNumId w:val="18"/>
  </w:num>
  <w:num w:numId="41" w16cid:durableId="413164915">
    <w:abstractNumId w:val="9"/>
  </w:num>
  <w:num w:numId="42" w16cid:durableId="2140031839">
    <w:abstractNumId w:val="13"/>
  </w:num>
  <w:num w:numId="43" w16cid:durableId="127819983">
    <w:abstractNumId w:val="10"/>
  </w:num>
  <w:num w:numId="44" w16cid:durableId="497381627">
    <w:abstractNumId w:val="33"/>
  </w:num>
  <w:num w:numId="45" w16cid:durableId="15635235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838800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E06"/>
    <w:rsid w:val="00003819"/>
    <w:rsid w:val="00010565"/>
    <w:rsid w:val="000112A7"/>
    <w:rsid w:val="00011D16"/>
    <w:rsid w:val="0001456D"/>
    <w:rsid w:val="00014A66"/>
    <w:rsid w:val="000220E1"/>
    <w:rsid w:val="0002519C"/>
    <w:rsid w:val="00026721"/>
    <w:rsid w:val="00027DF5"/>
    <w:rsid w:val="00031481"/>
    <w:rsid w:val="00036CEF"/>
    <w:rsid w:val="000375E8"/>
    <w:rsid w:val="0003786A"/>
    <w:rsid w:val="00041118"/>
    <w:rsid w:val="00041F02"/>
    <w:rsid w:val="00042F9C"/>
    <w:rsid w:val="000431CA"/>
    <w:rsid w:val="000452B8"/>
    <w:rsid w:val="0005226D"/>
    <w:rsid w:val="000530A7"/>
    <w:rsid w:val="000553FE"/>
    <w:rsid w:val="000579E7"/>
    <w:rsid w:val="00061FC2"/>
    <w:rsid w:val="00064BEA"/>
    <w:rsid w:val="00071985"/>
    <w:rsid w:val="000747AE"/>
    <w:rsid w:val="00074C29"/>
    <w:rsid w:val="00074C2C"/>
    <w:rsid w:val="00082F31"/>
    <w:rsid w:val="00082FD5"/>
    <w:rsid w:val="00096BE1"/>
    <w:rsid w:val="00096F9D"/>
    <w:rsid w:val="000A686F"/>
    <w:rsid w:val="000B00A2"/>
    <w:rsid w:val="000B1F4F"/>
    <w:rsid w:val="000B4EE6"/>
    <w:rsid w:val="000B5A6A"/>
    <w:rsid w:val="000B7B24"/>
    <w:rsid w:val="000B7CBB"/>
    <w:rsid w:val="000C3107"/>
    <w:rsid w:val="000C337B"/>
    <w:rsid w:val="000C3411"/>
    <w:rsid w:val="000C354A"/>
    <w:rsid w:val="000C3DC6"/>
    <w:rsid w:val="000C3E54"/>
    <w:rsid w:val="000C55E3"/>
    <w:rsid w:val="000C77E8"/>
    <w:rsid w:val="000D1AD7"/>
    <w:rsid w:val="000D2F66"/>
    <w:rsid w:val="000D49B8"/>
    <w:rsid w:val="000D4CB0"/>
    <w:rsid w:val="000D590E"/>
    <w:rsid w:val="000D662C"/>
    <w:rsid w:val="000D7B99"/>
    <w:rsid w:val="000E1C49"/>
    <w:rsid w:val="000E2D9F"/>
    <w:rsid w:val="000E3EFF"/>
    <w:rsid w:val="000E4B11"/>
    <w:rsid w:val="000E5E74"/>
    <w:rsid w:val="000F2BAD"/>
    <w:rsid w:val="000F55F6"/>
    <w:rsid w:val="000F593D"/>
    <w:rsid w:val="000F6E87"/>
    <w:rsid w:val="000F7D2E"/>
    <w:rsid w:val="001007E7"/>
    <w:rsid w:val="001010D0"/>
    <w:rsid w:val="00102E21"/>
    <w:rsid w:val="00102EA3"/>
    <w:rsid w:val="00103273"/>
    <w:rsid w:val="00114E43"/>
    <w:rsid w:val="001166D4"/>
    <w:rsid w:val="00117426"/>
    <w:rsid w:val="001234C0"/>
    <w:rsid w:val="00125568"/>
    <w:rsid w:val="001319C8"/>
    <w:rsid w:val="00136D47"/>
    <w:rsid w:val="00136D4E"/>
    <w:rsid w:val="001372A5"/>
    <w:rsid w:val="00140FD8"/>
    <w:rsid w:val="00144F98"/>
    <w:rsid w:val="00146B99"/>
    <w:rsid w:val="0015202C"/>
    <w:rsid w:val="0015490F"/>
    <w:rsid w:val="00154C45"/>
    <w:rsid w:val="001551B9"/>
    <w:rsid w:val="001658FA"/>
    <w:rsid w:val="00167964"/>
    <w:rsid w:val="001703D1"/>
    <w:rsid w:val="001748B2"/>
    <w:rsid w:val="001748C6"/>
    <w:rsid w:val="00174F7A"/>
    <w:rsid w:val="00176BBA"/>
    <w:rsid w:val="0019457B"/>
    <w:rsid w:val="00194B8C"/>
    <w:rsid w:val="001A06DA"/>
    <w:rsid w:val="001A286F"/>
    <w:rsid w:val="001A50AE"/>
    <w:rsid w:val="001A5994"/>
    <w:rsid w:val="001A64CB"/>
    <w:rsid w:val="001B1502"/>
    <w:rsid w:val="001B4E70"/>
    <w:rsid w:val="001B72D4"/>
    <w:rsid w:val="001C3886"/>
    <w:rsid w:val="001D230E"/>
    <w:rsid w:val="001D2514"/>
    <w:rsid w:val="001D28DD"/>
    <w:rsid w:val="001D32E4"/>
    <w:rsid w:val="001E172A"/>
    <w:rsid w:val="001E2581"/>
    <w:rsid w:val="001E717C"/>
    <w:rsid w:val="001F0D91"/>
    <w:rsid w:val="001F5102"/>
    <w:rsid w:val="001F5FE3"/>
    <w:rsid w:val="001F686F"/>
    <w:rsid w:val="001F7501"/>
    <w:rsid w:val="00205202"/>
    <w:rsid w:val="00205C0D"/>
    <w:rsid w:val="00210CA6"/>
    <w:rsid w:val="002125F1"/>
    <w:rsid w:val="002152F3"/>
    <w:rsid w:val="0021567D"/>
    <w:rsid w:val="002169B7"/>
    <w:rsid w:val="00221EC6"/>
    <w:rsid w:val="0022231F"/>
    <w:rsid w:val="0022454C"/>
    <w:rsid w:val="00231312"/>
    <w:rsid w:val="002315E4"/>
    <w:rsid w:val="00233DA8"/>
    <w:rsid w:val="00234B3A"/>
    <w:rsid w:val="002403A0"/>
    <w:rsid w:val="00241BAB"/>
    <w:rsid w:val="002424C2"/>
    <w:rsid w:val="00245A9D"/>
    <w:rsid w:val="00250450"/>
    <w:rsid w:val="002512E3"/>
    <w:rsid w:val="00252904"/>
    <w:rsid w:val="002533F5"/>
    <w:rsid w:val="00254E17"/>
    <w:rsid w:val="00266332"/>
    <w:rsid w:val="00275348"/>
    <w:rsid w:val="00276FA2"/>
    <w:rsid w:val="002811AB"/>
    <w:rsid w:val="00283571"/>
    <w:rsid w:val="00291BF9"/>
    <w:rsid w:val="00296468"/>
    <w:rsid w:val="002A43CF"/>
    <w:rsid w:val="002C1693"/>
    <w:rsid w:val="002C1CC2"/>
    <w:rsid w:val="002C450B"/>
    <w:rsid w:val="002C6D9D"/>
    <w:rsid w:val="002E36C5"/>
    <w:rsid w:val="0030081A"/>
    <w:rsid w:val="003016E1"/>
    <w:rsid w:val="00302486"/>
    <w:rsid w:val="00303BBC"/>
    <w:rsid w:val="00305369"/>
    <w:rsid w:val="00313008"/>
    <w:rsid w:val="00320AFA"/>
    <w:rsid w:val="00323263"/>
    <w:rsid w:val="003375F7"/>
    <w:rsid w:val="00342F09"/>
    <w:rsid w:val="0034362D"/>
    <w:rsid w:val="00345602"/>
    <w:rsid w:val="003514F7"/>
    <w:rsid w:val="00352F9A"/>
    <w:rsid w:val="00357B44"/>
    <w:rsid w:val="00361A15"/>
    <w:rsid w:val="00367065"/>
    <w:rsid w:val="00367AC1"/>
    <w:rsid w:val="00370139"/>
    <w:rsid w:val="00370EA2"/>
    <w:rsid w:val="00380A0E"/>
    <w:rsid w:val="003850CD"/>
    <w:rsid w:val="00385613"/>
    <w:rsid w:val="00385E62"/>
    <w:rsid w:val="00392115"/>
    <w:rsid w:val="00396DB3"/>
    <w:rsid w:val="003976E9"/>
    <w:rsid w:val="003A0DC8"/>
    <w:rsid w:val="003A14CD"/>
    <w:rsid w:val="003A518E"/>
    <w:rsid w:val="003A7686"/>
    <w:rsid w:val="003B0B4E"/>
    <w:rsid w:val="003B1D3F"/>
    <w:rsid w:val="003B3640"/>
    <w:rsid w:val="003B3A24"/>
    <w:rsid w:val="003B609D"/>
    <w:rsid w:val="003C256D"/>
    <w:rsid w:val="003C28A2"/>
    <w:rsid w:val="003C74DF"/>
    <w:rsid w:val="003C796D"/>
    <w:rsid w:val="003D288C"/>
    <w:rsid w:val="003D50FE"/>
    <w:rsid w:val="003D5C49"/>
    <w:rsid w:val="003D6F20"/>
    <w:rsid w:val="003D759C"/>
    <w:rsid w:val="003E4D05"/>
    <w:rsid w:val="003F42BE"/>
    <w:rsid w:val="003F5A47"/>
    <w:rsid w:val="004014E6"/>
    <w:rsid w:val="00403500"/>
    <w:rsid w:val="004044EC"/>
    <w:rsid w:val="0040475F"/>
    <w:rsid w:val="004153A7"/>
    <w:rsid w:val="00415642"/>
    <w:rsid w:val="004165AD"/>
    <w:rsid w:val="00420C01"/>
    <w:rsid w:val="0042314C"/>
    <w:rsid w:val="00423F99"/>
    <w:rsid w:val="00427390"/>
    <w:rsid w:val="0043705A"/>
    <w:rsid w:val="004501E7"/>
    <w:rsid w:val="00450705"/>
    <w:rsid w:val="00451A3D"/>
    <w:rsid w:val="00455415"/>
    <w:rsid w:val="00463B25"/>
    <w:rsid w:val="00465878"/>
    <w:rsid w:val="0046634C"/>
    <w:rsid w:val="004678DD"/>
    <w:rsid w:val="00475909"/>
    <w:rsid w:val="0047642B"/>
    <w:rsid w:val="00486B21"/>
    <w:rsid w:val="004975EA"/>
    <w:rsid w:val="004A0486"/>
    <w:rsid w:val="004A0E10"/>
    <w:rsid w:val="004A5D11"/>
    <w:rsid w:val="004A6F18"/>
    <w:rsid w:val="004B0E37"/>
    <w:rsid w:val="004B1439"/>
    <w:rsid w:val="004B1446"/>
    <w:rsid w:val="004B182F"/>
    <w:rsid w:val="004B1C9D"/>
    <w:rsid w:val="004B316D"/>
    <w:rsid w:val="004B62C4"/>
    <w:rsid w:val="004D68AA"/>
    <w:rsid w:val="004D6BFF"/>
    <w:rsid w:val="004E35EC"/>
    <w:rsid w:val="004E46F8"/>
    <w:rsid w:val="004E64BA"/>
    <w:rsid w:val="004E6BBE"/>
    <w:rsid w:val="00500157"/>
    <w:rsid w:val="00506220"/>
    <w:rsid w:val="0050749B"/>
    <w:rsid w:val="00507D4A"/>
    <w:rsid w:val="00512271"/>
    <w:rsid w:val="00514249"/>
    <w:rsid w:val="00520297"/>
    <w:rsid w:val="0052057F"/>
    <w:rsid w:val="0052394E"/>
    <w:rsid w:val="0052470D"/>
    <w:rsid w:val="00527CA3"/>
    <w:rsid w:val="00530DFD"/>
    <w:rsid w:val="00532341"/>
    <w:rsid w:val="0053493B"/>
    <w:rsid w:val="00536EA6"/>
    <w:rsid w:val="00537E8B"/>
    <w:rsid w:val="00540251"/>
    <w:rsid w:val="0054270C"/>
    <w:rsid w:val="00543FEC"/>
    <w:rsid w:val="005456D4"/>
    <w:rsid w:val="00546640"/>
    <w:rsid w:val="005504CA"/>
    <w:rsid w:val="00553043"/>
    <w:rsid w:val="0055355A"/>
    <w:rsid w:val="0055444D"/>
    <w:rsid w:val="0056265C"/>
    <w:rsid w:val="005626F6"/>
    <w:rsid w:val="00563A11"/>
    <w:rsid w:val="0057025A"/>
    <w:rsid w:val="0057105F"/>
    <w:rsid w:val="0057310A"/>
    <w:rsid w:val="00593E55"/>
    <w:rsid w:val="005968CA"/>
    <w:rsid w:val="005A0D50"/>
    <w:rsid w:val="005A208E"/>
    <w:rsid w:val="005A35F5"/>
    <w:rsid w:val="005A5C2E"/>
    <w:rsid w:val="005B39A1"/>
    <w:rsid w:val="005B56FD"/>
    <w:rsid w:val="005C0D72"/>
    <w:rsid w:val="005C1E0A"/>
    <w:rsid w:val="005C3423"/>
    <w:rsid w:val="005D223B"/>
    <w:rsid w:val="005D370A"/>
    <w:rsid w:val="005D39DB"/>
    <w:rsid w:val="005D5C09"/>
    <w:rsid w:val="005D6571"/>
    <w:rsid w:val="005D6E90"/>
    <w:rsid w:val="005D7F89"/>
    <w:rsid w:val="005E29A7"/>
    <w:rsid w:val="005E67FE"/>
    <w:rsid w:val="005F02F2"/>
    <w:rsid w:val="005F074F"/>
    <w:rsid w:val="005F08B9"/>
    <w:rsid w:val="005F213F"/>
    <w:rsid w:val="005F2CCA"/>
    <w:rsid w:val="006039A3"/>
    <w:rsid w:val="006047B1"/>
    <w:rsid w:val="00605E4A"/>
    <w:rsid w:val="006100DD"/>
    <w:rsid w:val="00611B14"/>
    <w:rsid w:val="00611D57"/>
    <w:rsid w:val="00612D9D"/>
    <w:rsid w:val="0061300C"/>
    <w:rsid w:val="00623A5A"/>
    <w:rsid w:val="00625406"/>
    <w:rsid w:val="00626403"/>
    <w:rsid w:val="00626DAB"/>
    <w:rsid w:val="00632205"/>
    <w:rsid w:val="006338EA"/>
    <w:rsid w:val="006373B1"/>
    <w:rsid w:val="006433CA"/>
    <w:rsid w:val="006457D3"/>
    <w:rsid w:val="006460CC"/>
    <w:rsid w:val="006463FD"/>
    <w:rsid w:val="00646656"/>
    <w:rsid w:val="006516EB"/>
    <w:rsid w:val="00653868"/>
    <w:rsid w:val="00653934"/>
    <w:rsid w:val="0065509A"/>
    <w:rsid w:val="00655831"/>
    <w:rsid w:val="006559A6"/>
    <w:rsid w:val="006601D1"/>
    <w:rsid w:val="00660780"/>
    <w:rsid w:val="00665BBC"/>
    <w:rsid w:val="006668CD"/>
    <w:rsid w:val="00666DB8"/>
    <w:rsid w:val="00670C8F"/>
    <w:rsid w:val="006762BB"/>
    <w:rsid w:val="00676689"/>
    <w:rsid w:val="00681FAC"/>
    <w:rsid w:val="006909A3"/>
    <w:rsid w:val="00696BE5"/>
    <w:rsid w:val="00696CFA"/>
    <w:rsid w:val="0069739B"/>
    <w:rsid w:val="006A2DCD"/>
    <w:rsid w:val="006A4F7E"/>
    <w:rsid w:val="006A5A1E"/>
    <w:rsid w:val="006B0D96"/>
    <w:rsid w:val="006B5DA3"/>
    <w:rsid w:val="006C3AD6"/>
    <w:rsid w:val="006C7F7B"/>
    <w:rsid w:val="006D0A86"/>
    <w:rsid w:val="006D7D46"/>
    <w:rsid w:val="006E2BD9"/>
    <w:rsid w:val="006E3544"/>
    <w:rsid w:val="006E63FB"/>
    <w:rsid w:val="006F547F"/>
    <w:rsid w:val="006F5762"/>
    <w:rsid w:val="007011EC"/>
    <w:rsid w:val="00701E9E"/>
    <w:rsid w:val="00702CE9"/>
    <w:rsid w:val="007035E0"/>
    <w:rsid w:val="007054B4"/>
    <w:rsid w:val="007071E2"/>
    <w:rsid w:val="00711FBB"/>
    <w:rsid w:val="00712EA6"/>
    <w:rsid w:val="00713F6A"/>
    <w:rsid w:val="00717140"/>
    <w:rsid w:val="00720B5D"/>
    <w:rsid w:val="007225F5"/>
    <w:rsid w:val="00723EA8"/>
    <w:rsid w:val="0073185B"/>
    <w:rsid w:val="0073355B"/>
    <w:rsid w:val="00735D4D"/>
    <w:rsid w:val="00740D11"/>
    <w:rsid w:val="00743451"/>
    <w:rsid w:val="00743DDB"/>
    <w:rsid w:val="00745900"/>
    <w:rsid w:val="00750ECD"/>
    <w:rsid w:val="00751AF4"/>
    <w:rsid w:val="0075254C"/>
    <w:rsid w:val="00752552"/>
    <w:rsid w:val="00754B66"/>
    <w:rsid w:val="00756969"/>
    <w:rsid w:val="007629CB"/>
    <w:rsid w:val="00762B2A"/>
    <w:rsid w:val="007633CA"/>
    <w:rsid w:val="00764CF0"/>
    <w:rsid w:val="00765853"/>
    <w:rsid w:val="007670CF"/>
    <w:rsid w:val="00771538"/>
    <w:rsid w:val="007865C2"/>
    <w:rsid w:val="0078774A"/>
    <w:rsid w:val="0079016E"/>
    <w:rsid w:val="007971B8"/>
    <w:rsid w:val="007A6AF1"/>
    <w:rsid w:val="007A7AD2"/>
    <w:rsid w:val="007B1CB9"/>
    <w:rsid w:val="007B5246"/>
    <w:rsid w:val="007B680A"/>
    <w:rsid w:val="007C41B9"/>
    <w:rsid w:val="007C570C"/>
    <w:rsid w:val="007C78C0"/>
    <w:rsid w:val="007D0FA3"/>
    <w:rsid w:val="007D1CB6"/>
    <w:rsid w:val="007D22CD"/>
    <w:rsid w:val="007D54CE"/>
    <w:rsid w:val="007D55E6"/>
    <w:rsid w:val="007E02EB"/>
    <w:rsid w:val="007E03EA"/>
    <w:rsid w:val="007E348B"/>
    <w:rsid w:val="007E4EA9"/>
    <w:rsid w:val="007F1DFA"/>
    <w:rsid w:val="007F1E81"/>
    <w:rsid w:val="007F584C"/>
    <w:rsid w:val="008020BB"/>
    <w:rsid w:val="008036DA"/>
    <w:rsid w:val="00803C36"/>
    <w:rsid w:val="00804AF0"/>
    <w:rsid w:val="008052FE"/>
    <w:rsid w:val="008060EC"/>
    <w:rsid w:val="00806994"/>
    <w:rsid w:val="00807374"/>
    <w:rsid w:val="008129A3"/>
    <w:rsid w:val="008132F8"/>
    <w:rsid w:val="008144D7"/>
    <w:rsid w:val="00820B0D"/>
    <w:rsid w:val="0082152B"/>
    <w:rsid w:val="00823286"/>
    <w:rsid w:val="0082548B"/>
    <w:rsid w:val="008345F6"/>
    <w:rsid w:val="00834693"/>
    <w:rsid w:val="0084300D"/>
    <w:rsid w:val="0084544A"/>
    <w:rsid w:val="00846B2F"/>
    <w:rsid w:val="00850C00"/>
    <w:rsid w:val="00851100"/>
    <w:rsid w:val="008516E7"/>
    <w:rsid w:val="00856481"/>
    <w:rsid w:val="00862CE3"/>
    <w:rsid w:val="00863472"/>
    <w:rsid w:val="008636A0"/>
    <w:rsid w:val="008643CB"/>
    <w:rsid w:val="00865B51"/>
    <w:rsid w:val="00866350"/>
    <w:rsid w:val="00866C75"/>
    <w:rsid w:val="008675F8"/>
    <w:rsid w:val="00877BC5"/>
    <w:rsid w:val="008819F8"/>
    <w:rsid w:val="0088414C"/>
    <w:rsid w:val="0088466C"/>
    <w:rsid w:val="00886FA2"/>
    <w:rsid w:val="008930F5"/>
    <w:rsid w:val="0089592C"/>
    <w:rsid w:val="008A1765"/>
    <w:rsid w:val="008A7284"/>
    <w:rsid w:val="008A7595"/>
    <w:rsid w:val="008A7867"/>
    <w:rsid w:val="008A7F37"/>
    <w:rsid w:val="008B56DD"/>
    <w:rsid w:val="008B71F2"/>
    <w:rsid w:val="008C018C"/>
    <w:rsid w:val="008C28EE"/>
    <w:rsid w:val="008C2DB4"/>
    <w:rsid w:val="008C3ED8"/>
    <w:rsid w:val="008C5805"/>
    <w:rsid w:val="008C78BE"/>
    <w:rsid w:val="008C79AD"/>
    <w:rsid w:val="008D11D4"/>
    <w:rsid w:val="008D40DE"/>
    <w:rsid w:val="008D4966"/>
    <w:rsid w:val="008D6545"/>
    <w:rsid w:val="008D7B74"/>
    <w:rsid w:val="008E29C9"/>
    <w:rsid w:val="008E6F7E"/>
    <w:rsid w:val="008E7CC5"/>
    <w:rsid w:val="008F1D31"/>
    <w:rsid w:val="008F2D90"/>
    <w:rsid w:val="008F4A71"/>
    <w:rsid w:val="008F501F"/>
    <w:rsid w:val="008F66AB"/>
    <w:rsid w:val="0090051D"/>
    <w:rsid w:val="00907060"/>
    <w:rsid w:val="00910E23"/>
    <w:rsid w:val="009117CA"/>
    <w:rsid w:val="00912D45"/>
    <w:rsid w:val="00921EAA"/>
    <w:rsid w:val="00932987"/>
    <w:rsid w:val="00934100"/>
    <w:rsid w:val="0093564D"/>
    <w:rsid w:val="00935890"/>
    <w:rsid w:val="00951E70"/>
    <w:rsid w:val="00953CD6"/>
    <w:rsid w:val="00961669"/>
    <w:rsid w:val="00963204"/>
    <w:rsid w:val="00963BF3"/>
    <w:rsid w:val="00967EEB"/>
    <w:rsid w:val="00973B47"/>
    <w:rsid w:val="0097518E"/>
    <w:rsid w:val="00981AE8"/>
    <w:rsid w:val="00981E04"/>
    <w:rsid w:val="009825CE"/>
    <w:rsid w:val="00990150"/>
    <w:rsid w:val="009924BF"/>
    <w:rsid w:val="00995A44"/>
    <w:rsid w:val="009979FA"/>
    <w:rsid w:val="00997C33"/>
    <w:rsid w:val="009A6D83"/>
    <w:rsid w:val="009B3394"/>
    <w:rsid w:val="009C10DF"/>
    <w:rsid w:val="009C3410"/>
    <w:rsid w:val="009C5760"/>
    <w:rsid w:val="009D0FB7"/>
    <w:rsid w:val="009D1AD1"/>
    <w:rsid w:val="009D258A"/>
    <w:rsid w:val="009D6D5F"/>
    <w:rsid w:val="009E7AD6"/>
    <w:rsid w:val="009F4D59"/>
    <w:rsid w:val="00A01E02"/>
    <w:rsid w:val="00A10FC0"/>
    <w:rsid w:val="00A22AD1"/>
    <w:rsid w:val="00A25626"/>
    <w:rsid w:val="00A25B2E"/>
    <w:rsid w:val="00A30FDD"/>
    <w:rsid w:val="00A332DE"/>
    <w:rsid w:val="00A33C6C"/>
    <w:rsid w:val="00A3697F"/>
    <w:rsid w:val="00A36B64"/>
    <w:rsid w:val="00A37D94"/>
    <w:rsid w:val="00A461EB"/>
    <w:rsid w:val="00A537F4"/>
    <w:rsid w:val="00A56EDC"/>
    <w:rsid w:val="00A66B15"/>
    <w:rsid w:val="00A713BC"/>
    <w:rsid w:val="00A76D42"/>
    <w:rsid w:val="00A77F96"/>
    <w:rsid w:val="00AA0603"/>
    <w:rsid w:val="00AA2770"/>
    <w:rsid w:val="00AA2E09"/>
    <w:rsid w:val="00AA705E"/>
    <w:rsid w:val="00AC2FE1"/>
    <w:rsid w:val="00AD0292"/>
    <w:rsid w:val="00AD43A5"/>
    <w:rsid w:val="00AD48A4"/>
    <w:rsid w:val="00AD4BD9"/>
    <w:rsid w:val="00AD4FFD"/>
    <w:rsid w:val="00AD6B44"/>
    <w:rsid w:val="00AE26DB"/>
    <w:rsid w:val="00AE2C86"/>
    <w:rsid w:val="00AE43AF"/>
    <w:rsid w:val="00AE43FC"/>
    <w:rsid w:val="00AE491D"/>
    <w:rsid w:val="00AF12FC"/>
    <w:rsid w:val="00AF20E1"/>
    <w:rsid w:val="00AF2F30"/>
    <w:rsid w:val="00B00372"/>
    <w:rsid w:val="00B0162E"/>
    <w:rsid w:val="00B017F1"/>
    <w:rsid w:val="00B2122A"/>
    <w:rsid w:val="00B22440"/>
    <w:rsid w:val="00B22BA0"/>
    <w:rsid w:val="00B22F0F"/>
    <w:rsid w:val="00B23EC5"/>
    <w:rsid w:val="00B243B2"/>
    <w:rsid w:val="00B26C1C"/>
    <w:rsid w:val="00B30118"/>
    <w:rsid w:val="00B3077D"/>
    <w:rsid w:val="00B3198D"/>
    <w:rsid w:val="00B31B3A"/>
    <w:rsid w:val="00B34BA7"/>
    <w:rsid w:val="00B35DFB"/>
    <w:rsid w:val="00B45ACE"/>
    <w:rsid w:val="00B51EAE"/>
    <w:rsid w:val="00B61253"/>
    <w:rsid w:val="00B62E6A"/>
    <w:rsid w:val="00B66D4E"/>
    <w:rsid w:val="00B713C0"/>
    <w:rsid w:val="00B7164F"/>
    <w:rsid w:val="00B75A8D"/>
    <w:rsid w:val="00B82D2D"/>
    <w:rsid w:val="00B836C7"/>
    <w:rsid w:val="00B85220"/>
    <w:rsid w:val="00B95455"/>
    <w:rsid w:val="00B962A5"/>
    <w:rsid w:val="00BA0435"/>
    <w:rsid w:val="00BB1493"/>
    <w:rsid w:val="00BB53D7"/>
    <w:rsid w:val="00BC1861"/>
    <w:rsid w:val="00BC1ED8"/>
    <w:rsid w:val="00BC39FA"/>
    <w:rsid w:val="00BC546A"/>
    <w:rsid w:val="00BC70D6"/>
    <w:rsid w:val="00BC7604"/>
    <w:rsid w:val="00BD0D2E"/>
    <w:rsid w:val="00BD2669"/>
    <w:rsid w:val="00BD7A55"/>
    <w:rsid w:val="00BE2F56"/>
    <w:rsid w:val="00BE3320"/>
    <w:rsid w:val="00BE37B1"/>
    <w:rsid w:val="00BE3854"/>
    <w:rsid w:val="00BE5ACC"/>
    <w:rsid w:val="00BF0444"/>
    <w:rsid w:val="00BF16FF"/>
    <w:rsid w:val="00BF2CFC"/>
    <w:rsid w:val="00BF51C8"/>
    <w:rsid w:val="00BF58F3"/>
    <w:rsid w:val="00C01E84"/>
    <w:rsid w:val="00C02DF1"/>
    <w:rsid w:val="00C115E0"/>
    <w:rsid w:val="00C12924"/>
    <w:rsid w:val="00C13032"/>
    <w:rsid w:val="00C1475A"/>
    <w:rsid w:val="00C1601F"/>
    <w:rsid w:val="00C17185"/>
    <w:rsid w:val="00C21F3E"/>
    <w:rsid w:val="00C32066"/>
    <w:rsid w:val="00C34DE9"/>
    <w:rsid w:val="00C34E86"/>
    <w:rsid w:val="00C34FB7"/>
    <w:rsid w:val="00C35C95"/>
    <w:rsid w:val="00C51267"/>
    <w:rsid w:val="00C539CD"/>
    <w:rsid w:val="00C55261"/>
    <w:rsid w:val="00C56C58"/>
    <w:rsid w:val="00C56E9D"/>
    <w:rsid w:val="00C602B9"/>
    <w:rsid w:val="00C62E34"/>
    <w:rsid w:val="00C64579"/>
    <w:rsid w:val="00C64758"/>
    <w:rsid w:val="00C65673"/>
    <w:rsid w:val="00C6586B"/>
    <w:rsid w:val="00C73CFC"/>
    <w:rsid w:val="00C759E1"/>
    <w:rsid w:val="00C81877"/>
    <w:rsid w:val="00C835D5"/>
    <w:rsid w:val="00C84D08"/>
    <w:rsid w:val="00C857F3"/>
    <w:rsid w:val="00C919C5"/>
    <w:rsid w:val="00C94EB3"/>
    <w:rsid w:val="00C96CE0"/>
    <w:rsid w:val="00CA07E0"/>
    <w:rsid w:val="00CA09BE"/>
    <w:rsid w:val="00CA546A"/>
    <w:rsid w:val="00CB59F4"/>
    <w:rsid w:val="00CC1634"/>
    <w:rsid w:val="00CC1B05"/>
    <w:rsid w:val="00CC4B57"/>
    <w:rsid w:val="00CC6B53"/>
    <w:rsid w:val="00CD3061"/>
    <w:rsid w:val="00CD5E1F"/>
    <w:rsid w:val="00CD6874"/>
    <w:rsid w:val="00CE3666"/>
    <w:rsid w:val="00CE5846"/>
    <w:rsid w:val="00CE75ED"/>
    <w:rsid w:val="00CF04B2"/>
    <w:rsid w:val="00CF070D"/>
    <w:rsid w:val="00CF2541"/>
    <w:rsid w:val="00CF2F0E"/>
    <w:rsid w:val="00CF3CA7"/>
    <w:rsid w:val="00D027F2"/>
    <w:rsid w:val="00D0463E"/>
    <w:rsid w:val="00D06893"/>
    <w:rsid w:val="00D13A21"/>
    <w:rsid w:val="00D15458"/>
    <w:rsid w:val="00D15893"/>
    <w:rsid w:val="00D16B29"/>
    <w:rsid w:val="00D16BAE"/>
    <w:rsid w:val="00D22E0C"/>
    <w:rsid w:val="00D22E2E"/>
    <w:rsid w:val="00D36FAA"/>
    <w:rsid w:val="00D37106"/>
    <w:rsid w:val="00D37F4F"/>
    <w:rsid w:val="00D411ED"/>
    <w:rsid w:val="00D413C4"/>
    <w:rsid w:val="00D42FFF"/>
    <w:rsid w:val="00D50CB8"/>
    <w:rsid w:val="00D5116C"/>
    <w:rsid w:val="00D52A61"/>
    <w:rsid w:val="00D55967"/>
    <w:rsid w:val="00D57F37"/>
    <w:rsid w:val="00D61A9F"/>
    <w:rsid w:val="00D62356"/>
    <w:rsid w:val="00D6541E"/>
    <w:rsid w:val="00D71BD4"/>
    <w:rsid w:val="00D72348"/>
    <w:rsid w:val="00D72DA8"/>
    <w:rsid w:val="00D72FBA"/>
    <w:rsid w:val="00D822D0"/>
    <w:rsid w:val="00D84FD4"/>
    <w:rsid w:val="00D85732"/>
    <w:rsid w:val="00D914EA"/>
    <w:rsid w:val="00D94614"/>
    <w:rsid w:val="00D95B5F"/>
    <w:rsid w:val="00DA0410"/>
    <w:rsid w:val="00DA1056"/>
    <w:rsid w:val="00DA2126"/>
    <w:rsid w:val="00DA2230"/>
    <w:rsid w:val="00DA31D4"/>
    <w:rsid w:val="00DA5A5A"/>
    <w:rsid w:val="00DA72F3"/>
    <w:rsid w:val="00DB593B"/>
    <w:rsid w:val="00DC0C97"/>
    <w:rsid w:val="00DC53D5"/>
    <w:rsid w:val="00DC6BD6"/>
    <w:rsid w:val="00DD138A"/>
    <w:rsid w:val="00DD42D7"/>
    <w:rsid w:val="00DD6A76"/>
    <w:rsid w:val="00DE08B4"/>
    <w:rsid w:val="00DE5952"/>
    <w:rsid w:val="00DF0114"/>
    <w:rsid w:val="00DF0DFA"/>
    <w:rsid w:val="00DF13D9"/>
    <w:rsid w:val="00DF1937"/>
    <w:rsid w:val="00DF25BF"/>
    <w:rsid w:val="00DF6AC9"/>
    <w:rsid w:val="00DF7B47"/>
    <w:rsid w:val="00E03189"/>
    <w:rsid w:val="00E101B9"/>
    <w:rsid w:val="00E115E8"/>
    <w:rsid w:val="00E13583"/>
    <w:rsid w:val="00E217E8"/>
    <w:rsid w:val="00E23EAD"/>
    <w:rsid w:val="00E24238"/>
    <w:rsid w:val="00E265F1"/>
    <w:rsid w:val="00E26A71"/>
    <w:rsid w:val="00E33DB6"/>
    <w:rsid w:val="00E40451"/>
    <w:rsid w:val="00E426DA"/>
    <w:rsid w:val="00E43543"/>
    <w:rsid w:val="00E52379"/>
    <w:rsid w:val="00E55131"/>
    <w:rsid w:val="00E56473"/>
    <w:rsid w:val="00E5678B"/>
    <w:rsid w:val="00E619E9"/>
    <w:rsid w:val="00E66073"/>
    <w:rsid w:val="00E70DA9"/>
    <w:rsid w:val="00E724F7"/>
    <w:rsid w:val="00E7390B"/>
    <w:rsid w:val="00E75A3F"/>
    <w:rsid w:val="00E77B9C"/>
    <w:rsid w:val="00E815B3"/>
    <w:rsid w:val="00E8206B"/>
    <w:rsid w:val="00E82918"/>
    <w:rsid w:val="00E91ED5"/>
    <w:rsid w:val="00E933A0"/>
    <w:rsid w:val="00E95B28"/>
    <w:rsid w:val="00EA7708"/>
    <w:rsid w:val="00EB5431"/>
    <w:rsid w:val="00EB6A53"/>
    <w:rsid w:val="00EB6B2A"/>
    <w:rsid w:val="00EC2BF5"/>
    <w:rsid w:val="00EC2C20"/>
    <w:rsid w:val="00EC3328"/>
    <w:rsid w:val="00EC3F20"/>
    <w:rsid w:val="00EC66B3"/>
    <w:rsid w:val="00EC7192"/>
    <w:rsid w:val="00ED73B3"/>
    <w:rsid w:val="00EE1ADD"/>
    <w:rsid w:val="00EE201B"/>
    <w:rsid w:val="00EE2194"/>
    <w:rsid w:val="00EE5159"/>
    <w:rsid w:val="00EE6E3B"/>
    <w:rsid w:val="00EF0134"/>
    <w:rsid w:val="00F01A93"/>
    <w:rsid w:val="00F01E9B"/>
    <w:rsid w:val="00F0328A"/>
    <w:rsid w:val="00F03E9E"/>
    <w:rsid w:val="00F137A5"/>
    <w:rsid w:val="00F14266"/>
    <w:rsid w:val="00F1564F"/>
    <w:rsid w:val="00F21965"/>
    <w:rsid w:val="00F21C16"/>
    <w:rsid w:val="00F25F13"/>
    <w:rsid w:val="00F30127"/>
    <w:rsid w:val="00F43BCF"/>
    <w:rsid w:val="00F53673"/>
    <w:rsid w:val="00F603BF"/>
    <w:rsid w:val="00F64758"/>
    <w:rsid w:val="00F649F0"/>
    <w:rsid w:val="00F65977"/>
    <w:rsid w:val="00F66FF8"/>
    <w:rsid w:val="00F72754"/>
    <w:rsid w:val="00F728BA"/>
    <w:rsid w:val="00F72BF6"/>
    <w:rsid w:val="00F733E7"/>
    <w:rsid w:val="00F76151"/>
    <w:rsid w:val="00F772F3"/>
    <w:rsid w:val="00F820EB"/>
    <w:rsid w:val="00F83D4D"/>
    <w:rsid w:val="00FA014D"/>
    <w:rsid w:val="00FA59C6"/>
    <w:rsid w:val="00FB21E7"/>
    <w:rsid w:val="00FB5F9A"/>
    <w:rsid w:val="00FC691D"/>
    <w:rsid w:val="00FE28A5"/>
    <w:rsid w:val="00FE5F34"/>
    <w:rsid w:val="00FE6973"/>
    <w:rsid w:val="00FF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1"/>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0B4EE6"/>
    <w:pPr>
      <w:numPr>
        <w:numId w:val="43"/>
      </w:numPr>
      <w:tabs>
        <w:tab w:val="right" w:leader="dot" w:pos="9350"/>
      </w:tabs>
    </w:pPr>
  </w:style>
  <w:style w:type="paragraph" w:styleId="TOC2">
    <w:name w:val="toc 2"/>
    <w:basedOn w:val="Normal"/>
    <w:next w:val="Normal"/>
    <w:autoRedefine/>
    <w:uiPriority w:val="39"/>
    <w:unhideWhenUsed/>
    <w:rsid w:val="000B4EE6"/>
    <w:pPr>
      <w:tabs>
        <w:tab w:val="right" w:leader="dot" w:pos="9350"/>
      </w:tabs>
      <w:ind w:left="1170"/>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unhideWhenUsed/>
    <w:rsid w:val="00C21F3E"/>
    <w:rPr>
      <w:sz w:val="20"/>
      <w:szCs w:val="20"/>
    </w:rPr>
  </w:style>
  <w:style w:type="character" w:customStyle="1" w:styleId="CommentTextChar">
    <w:name w:val="Comment Text Char"/>
    <w:basedOn w:val="DefaultParagraphFont"/>
    <w:link w:val="CommentText"/>
    <w:uiPriority w:val="99"/>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8C78BE"/>
    <w:rPr>
      <w:color w:val="605E5C"/>
      <w:shd w:val="clear" w:color="auto" w:fill="E1DFDD"/>
    </w:rPr>
  </w:style>
  <w:style w:type="paragraph" w:customStyle="1" w:styleId="EmailBlast">
    <w:name w:val="Email Blast"/>
    <w:basedOn w:val="Heading1"/>
    <w:autoRedefine/>
    <w:qFormat/>
    <w:rsid w:val="000112A7"/>
    <w:rPr>
      <w:rFonts w:ascii="Arial" w:hAnsi="Arial" w:cs="Arial"/>
      <w:b w:val="0"/>
      <w:bCs w:val="0"/>
      <w:color w:val="000066"/>
      <w:szCs w:val="28"/>
      <w:u w:val="none"/>
    </w:rPr>
  </w:style>
  <w:style w:type="paragraph" w:customStyle="1" w:styleId="EmailBlast2">
    <w:name w:val="Email Blast2"/>
    <w:basedOn w:val="Normal"/>
    <w:autoRedefine/>
    <w:qFormat/>
    <w:rsid w:val="00953CD6"/>
    <w:pPr>
      <w:spacing w:after="120"/>
      <w:outlineLvl w:val="1"/>
    </w:pPr>
    <w:rPr>
      <w:rFonts w:ascii="Arial" w:hAnsi="Arial" w:cs="Arial"/>
      <w:bCs/>
      <w:color w:val="000066"/>
      <w:sz w:val="28"/>
      <w:szCs w:val="28"/>
    </w:rPr>
  </w:style>
  <w:style w:type="paragraph" w:customStyle="1" w:styleId="xmsonormal">
    <w:name w:val="x_msonormal"/>
    <w:basedOn w:val="Normal"/>
    <w:rsid w:val="007E03EA"/>
    <w:rPr>
      <w:rFonts w:ascii="Calibri" w:eastAsiaTheme="minorHAnsi" w:hAnsi="Calibri" w:cs="Calibri"/>
      <w:sz w:val="22"/>
    </w:rPr>
  </w:style>
  <w:style w:type="character" w:customStyle="1" w:styleId="xcontentpasted2">
    <w:name w:val="x_contentpasted2"/>
    <w:basedOn w:val="DefaultParagraphFont"/>
    <w:rsid w:val="007E03EA"/>
  </w:style>
  <w:style w:type="character" w:customStyle="1" w:styleId="xcontentpasted1">
    <w:name w:val="x_contentpasted1"/>
    <w:basedOn w:val="DefaultParagraphFont"/>
    <w:rsid w:val="007E03EA"/>
  </w:style>
  <w:style w:type="paragraph" w:styleId="Revision">
    <w:name w:val="Revision"/>
    <w:hidden/>
    <w:uiPriority w:val="99"/>
    <w:semiHidden/>
    <w:rsid w:val="00146B99"/>
    <w:rPr>
      <w:rFonts w:ascii="Verdana" w:hAnsi="Verdana"/>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3116717">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304361665">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43895617">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79543144">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524028036">
      <w:bodyDiv w:val="1"/>
      <w:marLeft w:val="0"/>
      <w:marRight w:val="0"/>
      <w:marTop w:val="0"/>
      <w:marBottom w:val="0"/>
      <w:divBdr>
        <w:top w:val="none" w:sz="0" w:space="0" w:color="auto"/>
        <w:left w:val="none" w:sz="0" w:space="0" w:color="auto"/>
        <w:bottom w:val="none" w:sz="0" w:space="0" w:color="auto"/>
        <w:right w:val="none" w:sz="0" w:space="0" w:color="auto"/>
      </w:divBdr>
    </w:div>
    <w:div w:id="549420197">
      <w:bodyDiv w:val="1"/>
      <w:marLeft w:val="0"/>
      <w:marRight w:val="0"/>
      <w:marTop w:val="0"/>
      <w:marBottom w:val="0"/>
      <w:divBdr>
        <w:top w:val="none" w:sz="0" w:space="0" w:color="auto"/>
        <w:left w:val="none" w:sz="0" w:space="0" w:color="auto"/>
        <w:bottom w:val="none" w:sz="0" w:space="0" w:color="auto"/>
        <w:right w:val="none" w:sz="0" w:space="0" w:color="auto"/>
      </w:divBdr>
    </w:div>
    <w:div w:id="626545619">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38724382">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16143070">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35457723">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68954252">
      <w:bodyDiv w:val="1"/>
      <w:marLeft w:val="0"/>
      <w:marRight w:val="0"/>
      <w:marTop w:val="0"/>
      <w:marBottom w:val="0"/>
      <w:divBdr>
        <w:top w:val="none" w:sz="0" w:space="0" w:color="auto"/>
        <w:left w:val="none" w:sz="0" w:space="0" w:color="auto"/>
        <w:bottom w:val="none" w:sz="0" w:space="0" w:color="auto"/>
        <w:right w:val="none" w:sz="0" w:space="0" w:color="auto"/>
      </w:divBdr>
    </w:div>
    <w:div w:id="889264100">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17246676">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21207483">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7166451">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197736420">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26258219">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392384664">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13236562">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12471523">
      <w:bodyDiv w:val="1"/>
      <w:marLeft w:val="0"/>
      <w:marRight w:val="0"/>
      <w:marTop w:val="0"/>
      <w:marBottom w:val="0"/>
      <w:divBdr>
        <w:top w:val="none" w:sz="0" w:space="0" w:color="auto"/>
        <w:left w:val="none" w:sz="0" w:space="0" w:color="auto"/>
        <w:bottom w:val="none" w:sz="0" w:space="0" w:color="auto"/>
        <w:right w:val="none" w:sz="0" w:space="0" w:color="auto"/>
      </w:divBdr>
    </w:div>
    <w:div w:id="1644307246">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5665548">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2285267">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2814247">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09684917">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3012511">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gov/sites/dfiles/Housing/documents/MayEmailBlast05092022.docx"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lnks.gd/l/eyJhbGciOiJIUzI1NiJ9.eyJidWxsZXRpbl9saW5rX2lkIjoxMDUsInVyaSI6ImJwMjpjbGljayIsImJ1bGxldGluX2lkIjoiMjAyMTAxMDQuMzI3OTIyMzEiLCJ1cmwiOiJodHRwczovL3B1YmxpYy5nb3ZkZWxpdmVyeS5jb20vYWNjb3VudHMvVVNIVURGSEEvc3Vic2NyaWJlci9lZGl0P3ByZWZlcmVuY2VzPXRydWUjdGFiMSJ9.wRvymF0Ez03lJ8H_spybVySYYg9WNDJt3OaBv279qN0/s/1356292409/br/92636915983-l" TargetMode="External"/><Relationship Id="rId7" Type="http://schemas.openxmlformats.org/officeDocument/2006/relationships/settings" Target="settings.xml"/><Relationship Id="rId12" Type="http://schemas.openxmlformats.org/officeDocument/2006/relationships/hyperlink" Target="https://www.hud.gov/sites/dfiles/Housing/documents/Email_Blast_2017-Present.pdf" TargetMode="External"/><Relationship Id="rId17" Type="http://schemas.openxmlformats.org/officeDocument/2006/relationships/hyperlink" Target="https://lnks.gd/l/eyJhbGciOiJIUzI1NiJ9.eyJidWxsZXRpbl9saW5rX2lkIjoxMDMsInVyaSI6ImJwMjpjbGljayIsImJ1bGxldGluX2lkIjoiMjAyMTAxMDQuMzI3OTIyMzEiLCJ1cmwiOiJodHRwczovL3R3aXR0ZXIuY29tL0ZIQWdvdj91dG1fbWVkaXVtPWVtYWlsJnV0bV9zb3VyY2U9Z292ZGVsaXZlcnkifQ.GFsRUnhJSJ-sHKDbvfE2pppLHcaYbryFQufHdkCMV5w/s/1356292409/br/92636915983-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nks.gd/l/eyJhbGciOiJIUzI1NiJ9.eyJidWxsZXRpbl9saW5rX2lkIjoxMDIsInVyaSI6ImJwMjpjbGljayIsImJ1bGxldGluX2lkIjoiMjAyMTAxMDQuMzI3OTIyMzEiLCJ1cmwiOiJodHRwOi8vd3d3Lmh1ZC5nb3YvaGVhbHRoY2FyZT91dG1fbWVkaXVtPWVtYWlsJnV0bV9zb3VyY2U9Z292ZGVsaXZlcnkifQ.1u0SLtDtXsU62834yVCK0A042fLMrX4ZfmVsijRPzQI/s/1356292409/br/92636915983-l"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eanThinking@hud.gov"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nks.gd/l/eyJhbGciOiJIUzI1NiJ9.eyJidWxsZXRpbl9saW5rX2lkIjoxMDQsInVyaSI6ImJwMjpjbGljayIsImJ1bGxldGluX2lkIjoiMjAyMTAxMDQuMzI3OTIyMzEiLCJ1cmwiOiJodHRwczovL3d3dy5saW5rZWRpbi5jb20vY29tcGFueS9mZWQtaG91c2luZy1hZG1pbi8_dXRtX21lZGl1bT1lbWFpbCZ1dG1fc291cmNlPWdvdmRlbGl2ZXJ5In0.onjiySf1HziVFXioMsP1cwJjIK1IQ3XzC0Zn2S1BmWw/s/1356292409/br/92636915983-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nks.gd/l/eyJhbGciOiJIUzI1NiJ9.eyJidWxsZXRpbl9saW5rX2lkIjoxMDEsInVyaSI6ImJwMjpjbGljayIsImJ1bGxldGluX2lkIjoiMjAyMTAxMDQuMzI3OTIyMzEiLCJ1cmwiOiJodHRwczovL3d3dy5odWQuZ292L2ZlZGVyYWxfaG91c2luZ19hZG1pbmlzdHJhdGlvbi9oZWFsdGhjYXJlX2ZhY2lsaXRpZXMvcmVzaWRlbnRpYWxfY2FyZS9tYWlsX2JsYXN0X2luZGV4P3V0bV9tZWRpdW09ZW1haWwmdXRtX3NvdXJjZT1nb3ZkZWxpdmVyeSJ9.wD_kyOelsVj0O18oGZ6vB1qZQYtIH2lojk5kd633DYc/s/1356292409/br/92636915983-l" TargetMode="External"/><Relationship Id="rId22" Type="http://schemas.openxmlformats.org/officeDocument/2006/relationships/hyperlink" Target="https://lnks.gd/l/eyJhbGciOiJIUzI1NiJ9.eyJidWxsZXRpbl9saW5rX2lkIjoxMDYsInVyaSI6ImJwMjpjbGljayIsImJ1bGxldGluX2lkIjoiMjAyMTAxMDQuMzI3OTIyMzEiLCJ1cmwiOiJodHRwczovL3N1YnNjcmliZXJoZWxwLmdvdmRlbGl2ZXJ5LmNvbS8ifQ.3xw9xTzd7Qj4q1uJPSzMbsaY0ZJVcfrrvQGEa9VtOtA/s/1356292409/br/92636915983-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be2d7c557e8a43175b02366b1c1dc81b">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a9adb48c6bf0d9568b633f4efed754a3" ns1:_="" ns3:_="">
    <xsd:import namespace="http://schemas.microsoft.com/sharepoint/v3"/>
    <xsd:import namespace="c6d93d11-28f8-4e6d-ae4f-5893c68de00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06BBC-32F7-4A52-981C-D6BD01ED9833}">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95368CE1-0F32-4F0C-86D6-4305FAAEF64A}">
  <ds:schemaRefs>
    <ds:schemaRef ds:uri="http://schemas.microsoft.com/sharepoint/v3/contenttype/forms"/>
  </ds:schemaRefs>
</ds:datastoreItem>
</file>

<file path=customXml/itemProps3.xml><?xml version="1.0" encoding="utf-8"?>
<ds:datastoreItem xmlns:ds="http://schemas.openxmlformats.org/officeDocument/2006/customXml" ds:itemID="{D13E5A95-7A4C-4B5A-9273-7299F604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1C184-C94D-4031-9F3F-58DAD1888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5780</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Yeow, Emmanuel</cp:lastModifiedBy>
  <cp:revision>3</cp:revision>
  <cp:lastPrinted>2014-08-11T13:53:00Z</cp:lastPrinted>
  <dcterms:created xsi:type="dcterms:W3CDTF">2023-11-20T13:12:00Z</dcterms:created>
  <dcterms:modified xsi:type="dcterms:W3CDTF">2023-11-20T13:46:00Z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d4b7f483-aa4e-489b-8b7c-f8f08f0effa7</vt:lpwstr>
  </property>
</Properties>
</file>