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17852" w14:textId="77777777" w:rsidR="002D6277" w:rsidRPr="005F2958" w:rsidRDefault="003A3C9E" w:rsidP="002D6277">
      <w:pPr>
        <w:pStyle w:val="Exhibittitle"/>
        <w:rPr>
          <w:rFonts w:ascii="Times New Roman" w:hAnsi="Times New Roman"/>
        </w:rPr>
      </w:pPr>
      <w:r>
        <w:rPr>
          <w:rFonts w:ascii="Times New Roman" w:hAnsi="Times New Roman"/>
        </w:rPr>
        <w:t xml:space="preserve">Exhibit 5-4:  </w:t>
      </w:r>
      <w:r w:rsidR="002D6277" w:rsidRPr="005F2958">
        <w:rPr>
          <w:rFonts w:ascii="Times New Roman" w:hAnsi="Times New Roman"/>
        </w:rPr>
        <w:t>Certification for Qualified Long-Term Care Insurance Expenses</w:t>
      </w:r>
    </w:p>
    <w:p w14:paraId="2611A574" w14:textId="77777777" w:rsidR="002D6277" w:rsidRPr="005F2958" w:rsidRDefault="002D6277" w:rsidP="002D6277">
      <w:pPr>
        <w:rPr>
          <w:rFonts w:ascii="Times New Roman" w:hAnsi="Times New Roman"/>
          <w:sz w:val="24"/>
        </w:rPr>
      </w:pPr>
      <w:r w:rsidRPr="005F2958">
        <w:rPr>
          <w:rFonts w:ascii="Times New Roman" w:hAnsi="Times New Roman"/>
          <w:sz w:val="24"/>
        </w:rPr>
        <w:t xml:space="preserve">I certify that the long-term care insurance policy for which I pay premiums, </w:t>
      </w:r>
    </w:p>
    <w:p w14:paraId="0E050772" w14:textId="77777777" w:rsidR="002D6277" w:rsidRPr="005F2958" w:rsidRDefault="002D6277" w:rsidP="002D6277">
      <w:pPr>
        <w:rPr>
          <w:rFonts w:ascii="Times New Roman" w:hAnsi="Times New Roman"/>
          <w:sz w:val="24"/>
        </w:rPr>
      </w:pPr>
      <w:r w:rsidRPr="005F2958">
        <w:rPr>
          <w:rFonts w:ascii="Times New Roman" w:hAnsi="Times New Roman"/>
          <w:sz w:val="24"/>
        </w:rPr>
        <w:t xml:space="preserve">(insert policy provider name) ____________________________________, </w:t>
      </w:r>
    </w:p>
    <w:p w14:paraId="71FB4BA5" w14:textId="77777777" w:rsidR="002D6277" w:rsidRPr="005F2958" w:rsidRDefault="002D6277" w:rsidP="002D6277">
      <w:pPr>
        <w:rPr>
          <w:rFonts w:ascii="Times New Roman" w:hAnsi="Times New Roman"/>
          <w:sz w:val="24"/>
        </w:rPr>
      </w:pPr>
      <w:r w:rsidRPr="005F2958">
        <w:rPr>
          <w:rFonts w:ascii="Times New Roman" w:hAnsi="Times New Roman"/>
          <w:sz w:val="24"/>
        </w:rPr>
        <w:t xml:space="preserve">policy number ______________ meets the following conditions.  </w:t>
      </w:r>
    </w:p>
    <w:p w14:paraId="5091F1BA" w14:textId="77777777" w:rsidR="002D6277" w:rsidRPr="005F2958" w:rsidRDefault="002D6277" w:rsidP="002D6277">
      <w:pPr>
        <w:numPr>
          <w:ilvl w:val="3"/>
          <w:numId w:val="1"/>
        </w:numPr>
        <w:tabs>
          <w:tab w:val="clear" w:pos="2160"/>
          <w:tab w:val="num" w:pos="720"/>
        </w:tabs>
        <w:ind w:left="720"/>
        <w:rPr>
          <w:rFonts w:ascii="Times New Roman" w:hAnsi="Times New Roman"/>
          <w:sz w:val="24"/>
        </w:rPr>
      </w:pPr>
      <w:r w:rsidRPr="005F2958">
        <w:rPr>
          <w:rFonts w:ascii="Times New Roman" w:hAnsi="Times New Roman"/>
          <w:sz w:val="24"/>
        </w:rPr>
        <w:t>It is guaranteed renewable;</w:t>
      </w:r>
    </w:p>
    <w:p w14:paraId="09F33EEC" w14:textId="77777777" w:rsidR="002D6277" w:rsidRPr="005F2958" w:rsidRDefault="002D6277" w:rsidP="002D6277">
      <w:pPr>
        <w:numPr>
          <w:ilvl w:val="3"/>
          <w:numId w:val="1"/>
        </w:numPr>
        <w:tabs>
          <w:tab w:val="clear" w:pos="2160"/>
          <w:tab w:val="num" w:pos="720"/>
        </w:tabs>
        <w:ind w:left="720"/>
        <w:rPr>
          <w:rFonts w:ascii="Times New Roman" w:hAnsi="Times New Roman"/>
          <w:sz w:val="24"/>
        </w:rPr>
      </w:pPr>
      <w:r w:rsidRPr="005F2958">
        <w:rPr>
          <w:rFonts w:ascii="Times New Roman" w:hAnsi="Times New Roman"/>
          <w:sz w:val="24"/>
        </w:rPr>
        <w:t>It does not provide a cash surrender value which can be paid, assigned, pledged, or borrowed;</w:t>
      </w:r>
    </w:p>
    <w:p w14:paraId="53C188C0" w14:textId="77777777" w:rsidR="002D6277" w:rsidRPr="005F2958" w:rsidRDefault="002D6277" w:rsidP="002D6277">
      <w:pPr>
        <w:numPr>
          <w:ilvl w:val="3"/>
          <w:numId w:val="1"/>
        </w:numPr>
        <w:tabs>
          <w:tab w:val="clear" w:pos="2160"/>
          <w:tab w:val="num" w:pos="720"/>
        </w:tabs>
        <w:ind w:left="720"/>
        <w:rPr>
          <w:rFonts w:ascii="Times New Roman" w:hAnsi="Times New Roman"/>
          <w:sz w:val="24"/>
        </w:rPr>
      </w:pPr>
      <w:r w:rsidRPr="005F2958">
        <w:rPr>
          <w:rFonts w:ascii="Times New Roman" w:hAnsi="Times New Roman"/>
          <w:sz w:val="24"/>
        </w:rPr>
        <w:t>It provides that refunds (other than refunds on the death of the insured or complete surrender or cancellation of the contract) and dividends under the contract may be used only to reduce future premiums or increase future benefits; and,</w:t>
      </w:r>
    </w:p>
    <w:p w14:paraId="42A7FD40" w14:textId="77777777" w:rsidR="002D6277" w:rsidRPr="005F2958" w:rsidRDefault="002D6277" w:rsidP="002D6277">
      <w:pPr>
        <w:numPr>
          <w:ilvl w:val="3"/>
          <w:numId w:val="1"/>
        </w:numPr>
        <w:tabs>
          <w:tab w:val="clear" w:pos="2160"/>
          <w:tab w:val="num" w:pos="720"/>
        </w:tabs>
        <w:ind w:left="720"/>
        <w:rPr>
          <w:rFonts w:ascii="Times New Roman" w:hAnsi="Times New Roman"/>
          <w:sz w:val="24"/>
        </w:rPr>
      </w:pPr>
      <w:r w:rsidRPr="1D054061">
        <w:rPr>
          <w:rFonts w:ascii="Times New Roman" w:hAnsi="Times New Roman"/>
          <w:sz w:val="24"/>
        </w:rPr>
        <w:t>It does not pay or reimburse expenses incurred for services or items that would be reimbursed under Medicare (except where Medicare is a secondary payer or the contract makes per diem or other periodic payments without regard to expenses).</w:t>
      </w:r>
    </w:p>
    <w:p w14:paraId="6410E885" w14:textId="77777777" w:rsidR="002D6277" w:rsidRPr="005F2958" w:rsidRDefault="002D6277" w:rsidP="002D6277">
      <w:pPr>
        <w:tabs>
          <w:tab w:val="left" w:pos="5760"/>
        </w:tabs>
        <w:ind w:left="5040"/>
        <w:rPr>
          <w:rFonts w:ascii="Times New Roman" w:hAnsi="Times New Roman"/>
          <w:sz w:val="24"/>
        </w:rPr>
      </w:pP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br/>
      </w:r>
      <w:r w:rsidRPr="005F2958">
        <w:rPr>
          <w:rFonts w:ascii="Times New Roman" w:hAnsi="Times New Roman"/>
          <w:sz w:val="24"/>
        </w:rPr>
        <w:t>Name (print)</w:t>
      </w:r>
    </w:p>
    <w:p w14:paraId="77B51D91" w14:textId="77777777" w:rsidR="002D6277" w:rsidRPr="005F2958" w:rsidRDefault="002D6277" w:rsidP="002D6277">
      <w:pPr>
        <w:tabs>
          <w:tab w:val="left" w:pos="5760"/>
        </w:tabs>
        <w:ind w:left="5040"/>
        <w:rPr>
          <w:rFonts w:ascii="Times New Roman" w:hAnsi="Times New Roman"/>
          <w:sz w:val="24"/>
        </w:rPr>
      </w:pP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rPr>
        <w:br/>
        <w:t>Name (sign)</w:t>
      </w:r>
    </w:p>
    <w:p w14:paraId="7A3C290D" w14:textId="77777777" w:rsidR="005F2958" w:rsidRDefault="002D6277" w:rsidP="005F2958">
      <w:pPr>
        <w:tabs>
          <w:tab w:val="left" w:pos="5760"/>
        </w:tabs>
        <w:spacing w:after="0"/>
        <w:ind w:left="5040"/>
        <w:rPr>
          <w:rFonts w:ascii="Times New Roman" w:hAnsi="Times New Roman"/>
          <w:sz w:val="24"/>
          <w:u w:val="single"/>
        </w:rPr>
      </w:pP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p>
    <w:p w14:paraId="70FFCEC8" w14:textId="77777777" w:rsidR="00FF5D44" w:rsidRDefault="002D6277" w:rsidP="005F2958">
      <w:pPr>
        <w:tabs>
          <w:tab w:val="left" w:pos="5760"/>
        </w:tabs>
        <w:spacing w:after="0"/>
        <w:ind w:left="5040"/>
        <w:rPr>
          <w:rFonts w:ascii="Times New Roman" w:hAnsi="Times New Roman"/>
          <w:sz w:val="24"/>
        </w:rPr>
      </w:pPr>
      <w:r w:rsidRPr="005F2958">
        <w:rPr>
          <w:rFonts w:ascii="Times New Roman" w:hAnsi="Times New Roman"/>
          <w:sz w:val="24"/>
        </w:rPr>
        <w:t>Unit Number</w:t>
      </w:r>
    </w:p>
    <w:p w14:paraId="20ACC0A0" w14:textId="77777777" w:rsidR="00752219" w:rsidRPr="00752219" w:rsidRDefault="00752219" w:rsidP="005F2958">
      <w:pPr>
        <w:tabs>
          <w:tab w:val="left" w:pos="5760"/>
        </w:tabs>
        <w:spacing w:after="0"/>
        <w:ind w:left="5040"/>
        <w:rPr>
          <w:rFonts w:ascii="Times New Roman" w:hAnsi="Times New Roman"/>
          <w:sz w:val="20"/>
          <w:szCs w:val="20"/>
        </w:rPr>
      </w:pPr>
    </w:p>
    <w:p w14:paraId="1E66783E" w14:textId="3545D00A" w:rsidR="00752219" w:rsidRPr="00752219" w:rsidRDefault="00752219" w:rsidP="00752219">
      <w:pPr>
        <w:rPr>
          <w:rFonts w:ascii="Times New Roman" w:hAnsi="Times New Roman"/>
          <w:sz w:val="20"/>
          <w:szCs w:val="20"/>
        </w:rPr>
      </w:pPr>
      <w:r w:rsidRPr="4AE192AA">
        <w:rPr>
          <w:rFonts w:ascii="Times New Roman" w:hAnsi="Times New Roman"/>
          <w:b/>
          <w:bCs/>
          <w:sz w:val="20"/>
          <w:szCs w:val="20"/>
        </w:rPr>
        <w:t>Public reporting burden</w:t>
      </w:r>
      <w:r w:rsidRPr="4AE192AA">
        <w:rPr>
          <w:rFonts w:ascii="Times New Roman" w:hAnsi="Times New Roman"/>
          <w:sz w:val="20"/>
          <w:szCs w:val="20"/>
        </w:rPr>
        <w:t xml:space="preserve"> for this collection is estimated to average 10 minutes per response, including the time for reviewing instructions, searching existing data sources, gathering and maintaining the data needed, and completing and reviewing the collection of information. </w:t>
      </w:r>
      <w:r w:rsidR="0322C724" w:rsidRPr="4AE192AA">
        <w:rPr>
          <w:rFonts w:ascii="Times New Roman" w:hAnsi="Times New Roman"/>
          <w:sz w:val="20"/>
          <w:szCs w:val="20"/>
        </w:rPr>
        <w:t xml:space="preserve">Send comments regarding this burden estimate or any other aspect of this collection of information, including suggestions to reduce this burden, to the Reports Management Officer, REE, US. Department of Housing and Urban Development, 7th Street SW, Room 8210, Washington, DC 20410. Do not send completed forms to this address. </w:t>
      </w:r>
      <w:r w:rsidRPr="4AE192AA">
        <w:rPr>
          <w:rFonts w:ascii="Times New Roman" w:hAnsi="Times New Roman"/>
          <w:sz w:val="20"/>
          <w:szCs w:val="20"/>
        </w:rPr>
        <w:t xml:space="preserve">This information is required to obtain benefits. HUD may not collect this information, and you are not required to complete this form, unless it displays a currently valid OMB control number.  Upon completion of the certification, the insurance premiums are then included in the tenant’s total medical expenses deduction which is electronically transmitted by the owner/management agent to HUD’s Tenant Rental Assistance Certification System (TRACS).  </w:t>
      </w:r>
    </w:p>
    <w:p w14:paraId="5C1FAC40" w14:textId="21F4D75F" w:rsidR="00752219" w:rsidRPr="00752219" w:rsidRDefault="00752219" w:rsidP="00752219">
      <w:pPr>
        <w:pStyle w:val="Default"/>
        <w:rPr>
          <w:rFonts w:ascii="Times New Roman" w:hAnsi="Times New Roman" w:cs="Times New Roman"/>
          <w:sz w:val="20"/>
          <w:szCs w:val="20"/>
        </w:rPr>
      </w:pPr>
      <w:r w:rsidRPr="1D054061">
        <w:rPr>
          <w:rFonts w:ascii="Times New Roman" w:hAnsi="Times New Roman" w:cs="Times New Roman"/>
          <w:sz w:val="20"/>
          <w:szCs w:val="20"/>
        </w:rPr>
        <w:t>This information is authorized by the 24 CFR 5.611(a)(3)(i) which allows for unreimbursed medical expenses in excess of t</w:t>
      </w:r>
      <w:r w:rsidR="00890F90" w:rsidRPr="1D054061">
        <w:rPr>
          <w:rFonts w:ascii="Times New Roman" w:hAnsi="Times New Roman" w:cs="Times New Roman"/>
          <w:sz w:val="20"/>
          <w:szCs w:val="20"/>
        </w:rPr>
        <w:t>en</w:t>
      </w:r>
      <w:r w:rsidRPr="1D054061">
        <w:rPr>
          <w:rFonts w:ascii="Times New Roman" w:hAnsi="Times New Roman" w:cs="Times New Roman"/>
          <w:sz w:val="20"/>
          <w:szCs w:val="20"/>
        </w:rPr>
        <w:t xml:space="preserve"> (</w:t>
      </w:r>
      <w:r w:rsidR="00890F90" w:rsidRPr="1D054061">
        <w:rPr>
          <w:rFonts w:ascii="Times New Roman" w:hAnsi="Times New Roman" w:cs="Times New Roman"/>
          <w:sz w:val="20"/>
          <w:szCs w:val="20"/>
        </w:rPr>
        <w:t>10</w:t>
      </w:r>
      <w:r w:rsidRPr="1D054061">
        <w:rPr>
          <w:rFonts w:ascii="Times New Roman" w:hAnsi="Times New Roman" w:cs="Times New Roman"/>
          <w:sz w:val="20"/>
          <w:szCs w:val="20"/>
        </w:rPr>
        <w:t>) percent of annual income be included as a mandatory deduction from annual income for any elderly family or disabled family in order to arrive at the adjusted income used for rent and subsidy determination. This information is considered non-sensitive and does no</w:t>
      </w:r>
      <w:r w:rsidR="71714563" w:rsidRPr="1D054061">
        <w:rPr>
          <w:rFonts w:ascii="Times New Roman" w:hAnsi="Times New Roman" w:cs="Times New Roman"/>
          <w:sz w:val="20"/>
          <w:szCs w:val="20"/>
        </w:rPr>
        <w:t>t</w:t>
      </w:r>
      <w:r w:rsidRPr="1D054061">
        <w:rPr>
          <w:rFonts w:ascii="Times New Roman" w:hAnsi="Times New Roman" w:cs="Times New Roman"/>
          <w:sz w:val="20"/>
          <w:szCs w:val="20"/>
        </w:rPr>
        <w:t xml:space="preserve"> require any special protection.</w:t>
      </w:r>
    </w:p>
    <w:p w14:paraId="56102C66" w14:textId="77777777" w:rsidR="00752219" w:rsidRPr="005F2958" w:rsidRDefault="00752219" w:rsidP="005F2958">
      <w:pPr>
        <w:tabs>
          <w:tab w:val="left" w:pos="5760"/>
        </w:tabs>
        <w:spacing w:after="0"/>
        <w:ind w:left="5040"/>
        <w:rPr>
          <w:rFonts w:ascii="Times New Roman" w:hAnsi="Times New Roman"/>
          <w:sz w:val="24"/>
        </w:rPr>
      </w:pPr>
    </w:p>
    <w:sectPr w:rsidR="00752219" w:rsidRPr="005F2958" w:rsidSect="005F2958">
      <w:headerReference w:type="default" r:id="rId10"/>
      <w:footerReference w:type="default" r:id="rId11"/>
      <w:pgSz w:w="12240" w:h="15840"/>
      <w:pgMar w:top="1440" w:right="90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B9635" w14:textId="77777777" w:rsidR="00456D24" w:rsidRDefault="00456D24">
      <w:r>
        <w:separator/>
      </w:r>
    </w:p>
  </w:endnote>
  <w:endnote w:type="continuationSeparator" w:id="0">
    <w:p w14:paraId="4BB6985F" w14:textId="77777777" w:rsidR="00456D24" w:rsidRDefault="0045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03F5D" w14:textId="77777777" w:rsidR="003A3C9E" w:rsidRPr="005F2958" w:rsidRDefault="003A3C9E" w:rsidP="005F2958">
    <w:pPr>
      <w:pStyle w:val="Footer"/>
      <w:spacing w:after="0"/>
      <w:jc w:val="right"/>
      <w:rPr>
        <w:sz w:val="18"/>
        <w:szCs w:val="18"/>
      </w:rPr>
    </w:pPr>
    <w:r w:rsidRPr="005F2958">
      <w:rPr>
        <w:sz w:val="18"/>
        <w:szCs w:val="18"/>
      </w:rPr>
      <w:t>form HUD-90101</w:t>
    </w:r>
  </w:p>
  <w:p w14:paraId="2A4BA954" w14:textId="43EB0AF7" w:rsidR="003A3C9E" w:rsidRPr="005F2958" w:rsidRDefault="005546C6" w:rsidP="005F2958">
    <w:pPr>
      <w:pStyle w:val="Footer"/>
      <w:spacing w:after="0"/>
      <w:jc w:val="right"/>
      <w:rPr>
        <w:sz w:val="18"/>
        <w:szCs w:val="18"/>
      </w:rPr>
    </w:pPr>
    <w:r>
      <w:rPr>
        <w:sz w:val="18"/>
        <w:szCs w:val="18"/>
      </w:rPr>
      <w:t>xx</w:t>
    </w:r>
    <w:r w:rsidR="003A3C9E" w:rsidRPr="005F2958">
      <w:rPr>
        <w:sz w:val="18"/>
        <w:szCs w:val="18"/>
      </w:rPr>
      <w:t>/20</w:t>
    </w:r>
    <w:r>
      <w:rPr>
        <w:sz w:val="18"/>
        <w:szCs w:val="18"/>
      </w:rPr>
      <w:t>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B9106" w14:textId="77777777" w:rsidR="00456D24" w:rsidRDefault="00456D24">
      <w:r>
        <w:separator/>
      </w:r>
    </w:p>
  </w:footnote>
  <w:footnote w:type="continuationSeparator" w:id="0">
    <w:p w14:paraId="06DEC7FA" w14:textId="77777777" w:rsidR="00456D24" w:rsidRDefault="00456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A0" w:firstRow="1" w:lastRow="0" w:firstColumn="1" w:lastColumn="0" w:noHBand="0" w:noVBand="0"/>
    </w:tblPr>
    <w:tblGrid>
      <w:gridCol w:w="3254"/>
      <w:gridCol w:w="4521"/>
      <w:gridCol w:w="2679"/>
    </w:tblGrid>
    <w:tr w:rsidR="003A3C9E" w:rsidRPr="00FD1539" w14:paraId="0EC79B0F" w14:textId="77777777" w:rsidTr="00FD1539">
      <w:tc>
        <w:tcPr>
          <w:tcW w:w="3254" w:type="dxa"/>
          <w:tcBorders>
            <w:top w:val="nil"/>
            <w:left w:val="nil"/>
            <w:right w:val="nil"/>
          </w:tcBorders>
          <w:vAlign w:val="center"/>
        </w:tcPr>
        <w:p w14:paraId="68D5D074" w14:textId="77777777" w:rsidR="003A3C9E" w:rsidRPr="00FD1539" w:rsidRDefault="003A3C9E" w:rsidP="00FD1539">
          <w:pPr>
            <w:pStyle w:val="Default"/>
            <w:ind w:right="-18"/>
            <w:rPr>
              <w:rFonts w:ascii="Arial" w:hAnsi="Arial" w:cs="Arial"/>
              <w:sz w:val="18"/>
              <w:szCs w:val="18"/>
            </w:rPr>
          </w:pPr>
          <w:r w:rsidRPr="00FD1539">
            <w:rPr>
              <w:b/>
              <w:bCs/>
              <w:sz w:val="28"/>
              <w:szCs w:val="28"/>
            </w:rPr>
            <w:t xml:space="preserve">Certification of Long-Term Care Insurance </w:t>
          </w:r>
        </w:p>
      </w:tc>
      <w:tc>
        <w:tcPr>
          <w:tcW w:w="4521" w:type="dxa"/>
          <w:tcBorders>
            <w:top w:val="nil"/>
            <w:left w:val="nil"/>
            <w:right w:val="nil"/>
          </w:tcBorders>
        </w:tcPr>
        <w:p w14:paraId="6DAAF0EB" w14:textId="77777777" w:rsidR="003A3C9E" w:rsidRPr="00FD1539" w:rsidRDefault="003A3C9E" w:rsidP="00FD1539">
          <w:pPr>
            <w:pStyle w:val="Default"/>
            <w:jc w:val="center"/>
            <w:rPr>
              <w:b/>
              <w:bCs/>
              <w:sz w:val="18"/>
              <w:szCs w:val="18"/>
            </w:rPr>
          </w:pPr>
          <w:smartTag w:uri="urn:schemas-microsoft-com:office:smarttags" w:element="place">
            <w:smartTag w:uri="urn:schemas-microsoft-com:office:smarttags" w:element="country-region">
              <w:r w:rsidRPr="00FD1539">
                <w:rPr>
                  <w:b/>
                  <w:bCs/>
                  <w:sz w:val="18"/>
                  <w:szCs w:val="18"/>
                </w:rPr>
                <w:t>U.S.</w:t>
              </w:r>
            </w:smartTag>
          </w:smartTag>
          <w:r w:rsidRPr="00FD1539">
            <w:rPr>
              <w:b/>
              <w:bCs/>
              <w:sz w:val="18"/>
              <w:szCs w:val="18"/>
            </w:rPr>
            <w:t xml:space="preserve"> Department of Housing</w:t>
          </w:r>
        </w:p>
        <w:p w14:paraId="51E94E19" w14:textId="77777777" w:rsidR="003A3C9E" w:rsidRPr="00FD1539" w:rsidRDefault="003A3C9E" w:rsidP="00FD1539">
          <w:pPr>
            <w:pStyle w:val="Default"/>
            <w:jc w:val="center"/>
            <w:rPr>
              <w:b/>
              <w:bCs/>
              <w:sz w:val="18"/>
              <w:szCs w:val="18"/>
            </w:rPr>
          </w:pPr>
          <w:r w:rsidRPr="00FD1539">
            <w:rPr>
              <w:b/>
              <w:bCs/>
              <w:sz w:val="18"/>
              <w:szCs w:val="18"/>
            </w:rPr>
            <w:t>and Urban Development</w:t>
          </w:r>
        </w:p>
        <w:p w14:paraId="7E65F01E" w14:textId="77777777" w:rsidR="003A3C9E" w:rsidRPr="00FD1539" w:rsidRDefault="003A3C9E" w:rsidP="00FD1539">
          <w:pPr>
            <w:pStyle w:val="Default"/>
            <w:jc w:val="center"/>
            <w:rPr>
              <w:sz w:val="18"/>
              <w:szCs w:val="18"/>
            </w:rPr>
          </w:pPr>
          <w:r w:rsidRPr="00FD1539">
            <w:rPr>
              <w:sz w:val="18"/>
              <w:szCs w:val="18"/>
            </w:rPr>
            <w:t>Office of Housing</w:t>
          </w:r>
        </w:p>
        <w:p w14:paraId="27B9A357" w14:textId="77777777" w:rsidR="003A3C9E" w:rsidRPr="00FD1539" w:rsidRDefault="003A3C9E" w:rsidP="00FD1539">
          <w:pPr>
            <w:pStyle w:val="Default"/>
            <w:jc w:val="center"/>
            <w:rPr>
              <w:sz w:val="20"/>
              <w:szCs w:val="20"/>
            </w:rPr>
          </w:pPr>
          <w:r w:rsidRPr="00FD1539">
            <w:rPr>
              <w:sz w:val="18"/>
              <w:szCs w:val="18"/>
            </w:rPr>
            <w:t>Federal Housing Commissioner</w:t>
          </w:r>
        </w:p>
      </w:tc>
      <w:tc>
        <w:tcPr>
          <w:tcW w:w="2679" w:type="dxa"/>
          <w:tcBorders>
            <w:top w:val="nil"/>
            <w:left w:val="nil"/>
            <w:right w:val="nil"/>
          </w:tcBorders>
        </w:tcPr>
        <w:p w14:paraId="17BBFE93" w14:textId="77777777" w:rsidR="003A3C9E" w:rsidRPr="00FD1539" w:rsidRDefault="003A3C9E" w:rsidP="00FD1539">
          <w:pPr>
            <w:pStyle w:val="Default"/>
            <w:tabs>
              <w:tab w:val="left" w:pos="3456"/>
            </w:tabs>
            <w:jc w:val="right"/>
            <w:rPr>
              <w:sz w:val="16"/>
              <w:szCs w:val="16"/>
            </w:rPr>
          </w:pPr>
          <w:r w:rsidRPr="00FD1539">
            <w:rPr>
              <w:sz w:val="16"/>
              <w:szCs w:val="16"/>
            </w:rPr>
            <w:t>OMB Approval No. 2502-0204</w:t>
          </w:r>
        </w:p>
        <w:p w14:paraId="22220933" w14:textId="4A77437B" w:rsidR="003A3C9E" w:rsidRPr="00FD1539" w:rsidRDefault="00BE0F99" w:rsidP="00C4027F">
          <w:pPr>
            <w:pStyle w:val="Default"/>
            <w:tabs>
              <w:tab w:val="left" w:pos="3456"/>
            </w:tabs>
            <w:jc w:val="right"/>
            <w:rPr>
              <w:sz w:val="20"/>
              <w:szCs w:val="20"/>
            </w:rPr>
          </w:pPr>
          <w:r w:rsidRPr="00FD1539">
            <w:rPr>
              <w:sz w:val="16"/>
              <w:szCs w:val="16"/>
            </w:rPr>
            <w:t>(</w:t>
          </w:r>
          <w:proofErr w:type="spellStart"/>
          <w:r w:rsidRPr="00FD1539">
            <w:rPr>
              <w:sz w:val="16"/>
              <w:szCs w:val="16"/>
            </w:rPr>
            <w:t>exp.</w:t>
          </w:r>
          <w:r w:rsidR="00264A2C">
            <w:rPr>
              <w:sz w:val="16"/>
              <w:szCs w:val="16"/>
            </w:rPr>
            <w:t>xx</w:t>
          </w:r>
          <w:proofErr w:type="spellEnd"/>
          <w:r w:rsidR="00264A2C">
            <w:rPr>
              <w:sz w:val="16"/>
              <w:szCs w:val="16"/>
            </w:rPr>
            <w:t>/xx/</w:t>
          </w:r>
          <w:proofErr w:type="spellStart"/>
          <w:r w:rsidR="00264A2C">
            <w:rPr>
              <w:sz w:val="16"/>
              <w:szCs w:val="16"/>
            </w:rPr>
            <w:t>xxxx</w:t>
          </w:r>
          <w:proofErr w:type="spellEnd"/>
          <w:r w:rsidR="003A3C9E" w:rsidRPr="00FD1539">
            <w:rPr>
              <w:sz w:val="16"/>
              <w:szCs w:val="16"/>
            </w:rPr>
            <w:t>)</w:t>
          </w:r>
        </w:p>
      </w:tc>
    </w:tr>
  </w:tbl>
  <w:p w14:paraId="1A944466" w14:textId="77777777" w:rsidR="003A3C9E" w:rsidRDefault="003A3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C56BD"/>
    <w:multiLevelType w:val="multilevel"/>
    <w:tmpl w:val="0A084DD4"/>
    <w:lvl w:ilvl="0">
      <w:start w:val="1"/>
      <w:numFmt w:val="bullet"/>
      <w:lvlText w:val=""/>
      <w:lvlJc w:val="left"/>
      <w:pPr>
        <w:tabs>
          <w:tab w:val="num" w:pos="2520"/>
        </w:tabs>
        <w:ind w:left="2520" w:hanging="360"/>
      </w:pPr>
      <w:rPr>
        <w:rFonts w:ascii="Symbol" w:hAnsi="Symbol" w:hint="default"/>
      </w:rPr>
    </w:lvl>
    <w:lvl w:ilvl="1">
      <w:start w:val="1"/>
      <w:numFmt w:val="decimal"/>
      <w:lvlText w:val="5.%2"/>
      <w:lvlJc w:val="left"/>
      <w:pPr>
        <w:tabs>
          <w:tab w:val="num" w:pos="2160"/>
        </w:tabs>
        <w:ind w:left="2880" w:hanging="720"/>
      </w:pPr>
      <w:rPr>
        <w:rFonts w:ascii="Arial" w:hAnsi="Arial" w:hint="default"/>
        <w:b/>
        <w:sz w:val="22"/>
      </w:rPr>
    </w:lvl>
    <w:lvl w:ilvl="2">
      <w:start w:val="1"/>
      <w:numFmt w:val="upperLetter"/>
      <w:lvlText w:val="%3."/>
      <w:lvlJc w:val="left"/>
      <w:pPr>
        <w:tabs>
          <w:tab w:val="num" w:pos="2160"/>
        </w:tabs>
        <w:ind w:left="3600" w:hanging="720"/>
      </w:pPr>
      <w:rPr>
        <w:rFonts w:ascii="Arial" w:hAnsi="Arial" w:hint="default"/>
        <w:sz w:val="22"/>
      </w:rPr>
    </w:lvl>
    <w:lvl w:ilvl="3">
      <w:start w:val="1"/>
      <w:numFmt w:val="decimal"/>
      <w:lvlText w:val="%4."/>
      <w:lvlJc w:val="left"/>
      <w:pPr>
        <w:tabs>
          <w:tab w:val="num" w:pos="2160"/>
        </w:tabs>
        <w:ind w:left="4320" w:hanging="720"/>
      </w:pPr>
      <w:rPr>
        <w:rFonts w:ascii="Arial" w:hAnsi="Arial" w:hint="default"/>
        <w:sz w:val="22"/>
      </w:rPr>
    </w:lvl>
    <w:lvl w:ilvl="4">
      <w:start w:val="1"/>
      <w:numFmt w:val="lowerLetter"/>
      <w:lvlText w:val="%5."/>
      <w:lvlJc w:val="left"/>
      <w:pPr>
        <w:tabs>
          <w:tab w:val="num" w:pos="2160"/>
        </w:tabs>
        <w:ind w:left="5040" w:hanging="720"/>
      </w:pPr>
      <w:rPr>
        <w:rFonts w:hint="default"/>
      </w:rPr>
    </w:lvl>
    <w:lvl w:ilvl="5">
      <w:start w:val="1"/>
      <w:numFmt w:val="decimal"/>
      <w:lvlText w:val="(%6)"/>
      <w:lvlJc w:val="left"/>
      <w:pPr>
        <w:tabs>
          <w:tab w:val="num" w:pos="2160"/>
        </w:tabs>
        <w:ind w:left="5760" w:hanging="720"/>
      </w:pPr>
      <w:rPr>
        <w:rFonts w:hint="default"/>
      </w:rPr>
    </w:lvl>
    <w:lvl w:ilvl="6">
      <w:numFmt w:val="none"/>
      <w:lvlText w:val=""/>
      <w:lvlJc w:val="left"/>
      <w:pPr>
        <w:tabs>
          <w:tab w:val="num" w:pos="2160"/>
        </w:tabs>
        <w:ind w:left="2160"/>
      </w:pPr>
      <w:rPr>
        <w:rFonts w:hint="default"/>
      </w:rPr>
    </w:lvl>
    <w:lvl w:ilvl="7">
      <w:numFmt w:val="none"/>
      <w:lvlText w:val=""/>
      <w:lvlJc w:val="left"/>
      <w:pPr>
        <w:tabs>
          <w:tab w:val="num" w:pos="2160"/>
        </w:tabs>
        <w:ind w:left="2160"/>
      </w:pPr>
      <w:rPr>
        <w:rFonts w:hint="default"/>
      </w:rPr>
    </w:lvl>
    <w:lvl w:ilvl="8">
      <w:numFmt w:val="none"/>
      <w:lvlText w:val=""/>
      <w:lvlJc w:val="left"/>
      <w:pPr>
        <w:tabs>
          <w:tab w:val="num" w:pos="2160"/>
        </w:tabs>
        <w:ind w:left="2160"/>
      </w:pPr>
      <w:rPr>
        <w:rFonts w:hint="default"/>
      </w:rPr>
    </w:lvl>
  </w:abstractNum>
  <w:num w:numId="1" w16cid:durableId="170547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77"/>
    <w:rsid w:val="000C12BE"/>
    <w:rsid w:val="001400A4"/>
    <w:rsid w:val="00226078"/>
    <w:rsid w:val="00264A2C"/>
    <w:rsid w:val="002D6277"/>
    <w:rsid w:val="003A3C9E"/>
    <w:rsid w:val="00432B62"/>
    <w:rsid w:val="00456D24"/>
    <w:rsid w:val="005546C6"/>
    <w:rsid w:val="005A290B"/>
    <w:rsid w:val="005B2529"/>
    <w:rsid w:val="005F2958"/>
    <w:rsid w:val="00601BEE"/>
    <w:rsid w:val="00752219"/>
    <w:rsid w:val="00890F90"/>
    <w:rsid w:val="00A263B1"/>
    <w:rsid w:val="00B03528"/>
    <w:rsid w:val="00BE0F99"/>
    <w:rsid w:val="00C4027F"/>
    <w:rsid w:val="00D00F97"/>
    <w:rsid w:val="00D33ABA"/>
    <w:rsid w:val="00DC68BC"/>
    <w:rsid w:val="00E3597B"/>
    <w:rsid w:val="00E611EB"/>
    <w:rsid w:val="00F664A4"/>
    <w:rsid w:val="00FD1539"/>
    <w:rsid w:val="00FF5D44"/>
    <w:rsid w:val="0322C724"/>
    <w:rsid w:val="1AC5469E"/>
    <w:rsid w:val="1D054061"/>
    <w:rsid w:val="425F6E4A"/>
    <w:rsid w:val="4AE192AA"/>
    <w:rsid w:val="71714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83E2626"/>
  <w15:chartTrackingRefBased/>
  <w15:docId w15:val="{6F955D7B-8840-4EAD-80D5-9C11DB33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277"/>
    <w:pPr>
      <w:spacing w:after="24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dot" w:pos="9360"/>
      </w:tabs>
      <w:overflowPunct w:val="0"/>
      <w:autoSpaceDE w:val="0"/>
      <w:autoSpaceDN w:val="0"/>
      <w:adjustRightInd w:val="0"/>
      <w:spacing w:before="120"/>
      <w:textAlignment w:val="baseline"/>
    </w:pPr>
    <w:rPr>
      <w:b/>
      <w:i/>
      <w:szCs w:val="20"/>
    </w:rPr>
  </w:style>
  <w:style w:type="paragraph" w:styleId="TOC2">
    <w:name w:val="toc 2"/>
    <w:basedOn w:val="Normal"/>
    <w:next w:val="Normal"/>
    <w:semiHidden/>
    <w:pPr>
      <w:tabs>
        <w:tab w:val="right" w:leader="dot" w:pos="9360"/>
      </w:tabs>
      <w:overflowPunct w:val="0"/>
      <w:autoSpaceDE w:val="0"/>
      <w:autoSpaceDN w:val="0"/>
      <w:adjustRightInd w:val="0"/>
      <w:spacing w:before="120"/>
      <w:ind w:left="240"/>
      <w:textAlignment w:val="baseline"/>
    </w:pPr>
    <w:rPr>
      <w:b/>
      <w:szCs w:val="20"/>
    </w:rPr>
  </w:style>
  <w:style w:type="paragraph" w:styleId="TOC3">
    <w:name w:val="toc 3"/>
    <w:basedOn w:val="Normal"/>
    <w:next w:val="Normal"/>
    <w:autoRedefine/>
    <w:semiHidden/>
    <w:pPr>
      <w:tabs>
        <w:tab w:val="right" w:leader="dot" w:pos="9360"/>
      </w:tabs>
      <w:overflowPunct w:val="0"/>
      <w:autoSpaceDE w:val="0"/>
      <w:autoSpaceDN w:val="0"/>
      <w:adjustRightInd w:val="0"/>
      <w:ind w:left="480"/>
      <w:textAlignment w:val="baseline"/>
    </w:pPr>
    <w:rPr>
      <w:sz w:val="20"/>
      <w:szCs w:val="20"/>
    </w:rPr>
  </w:style>
  <w:style w:type="paragraph" w:styleId="TOC4">
    <w:name w:val="toc 4"/>
    <w:basedOn w:val="Normal"/>
    <w:next w:val="Normal"/>
    <w:autoRedefine/>
    <w:semiHidden/>
    <w:pPr>
      <w:tabs>
        <w:tab w:val="left" w:pos="1440"/>
        <w:tab w:val="left" w:pos="1680"/>
        <w:tab w:val="right" w:leader="dot" w:pos="9350"/>
      </w:tabs>
      <w:ind w:left="720"/>
      <w:jc w:val="right"/>
    </w:pPr>
    <w:rPr>
      <w:rFonts w:cs="Arial"/>
      <w:noProof/>
      <w:szCs w:val="22"/>
    </w:rPr>
  </w:style>
  <w:style w:type="paragraph" w:customStyle="1" w:styleId="Exhibittitle">
    <w:name w:val="Exhibit title"/>
    <w:basedOn w:val="Normal"/>
    <w:rsid w:val="002D6277"/>
    <w:pPr>
      <w:spacing w:before="120"/>
      <w:jc w:val="center"/>
    </w:pPr>
    <w:rPr>
      <w:b/>
      <w:sz w:val="24"/>
    </w:rPr>
  </w:style>
  <w:style w:type="paragraph" w:styleId="Header">
    <w:name w:val="header"/>
    <w:basedOn w:val="Normal"/>
    <w:rsid w:val="005F2958"/>
    <w:pPr>
      <w:tabs>
        <w:tab w:val="center" w:pos="4320"/>
        <w:tab w:val="right" w:pos="8640"/>
      </w:tabs>
    </w:pPr>
  </w:style>
  <w:style w:type="paragraph" w:styleId="Footer">
    <w:name w:val="footer"/>
    <w:basedOn w:val="Normal"/>
    <w:rsid w:val="005F2958"/>
    <w:pPr>
      <w:tabs>
        <w:tab w:val="center" w:pos="4320"/>
        <w:tab w:val="right" w:pos="8640"/>
      </w:tabs>
    </w:pPr>
  </w:style>
  <w:style w:type="paragraph" w:customStyle="1" w:styleId="Default">
    <w:name w:val="Default"/>
    <w:rsid w:val="005F2958"/>
    <w:pPr>
      <w:widowControl w:val="0"/>
      <w:autoSpaceDE w:val="0"/>
      <w:autoSpaceDN w:val="0"/>
      <w:adjustRightInd w:val="0"/>
    </w:pPr>
    <w:rPr>
      <w:rFonts w:ascii="Helvetica" w:hAnsi="Helvetica" w:cs="Helvetica"/>
      <w:color w:val="000000"/>
      <w:sz w:val="24"/>
      <w:szCs w:val="24"/>
    </w:rPr>
  </w:style>
  <w:style w:type="table" w:styleId="TableGrid">
    <w:name w:val="Table Grid"/>
    <w:basedOn w:val="TableNormal"/>
    <w:rsid w:val="005F2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46C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6" ma:contentTypeDescription="Create a new document." ma:contentTypeScope="" ma:versionID="ebef2936293cfd478e268bae50341c34">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c382eed4e17aff7c4d475cab7c33e3d7"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F57BD-0CC6-4B45-9E74-4F746EBB94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1970A3-F621-4818-A04E-9CE29EC1D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3DC09-E56E-41F8-87FE-970678B42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2063</Characters>
  <Application>Microsoft Office Word</Application>
  <DocSecurity>0</DocSecurity>
  <Lines>17</Lines>
  <Paragraphs>4</Paragraphs>
  <ScaleCrop>false</ScaleCrop>
  <Company>Housing and Urban Development</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5-4:  **Sample ** Certification for Qualified Long-Term Care Insurance Expenses</dc:title>
  <dc:subject/>
  <dc:creator>H05232</dc:creator>
  <cp:keywords/>
  <dc:description/>
  <cp:lastModifiedBy>Lavorel, Jennifer C</cp:lastModifiedBy>
  <cp:revision>2</cp:revision>
  <dcterms:created xsi:type="dcterms:W3CDTF">2024-10-23T16:47:00Z</dcterms:created>
  <dcterms:modified xsi:type="dcterms:W3CDTF">2024-10-23T16:47:00Z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0x010100ACCDFB6C22B0784EBB76BC5DC7C488DD</vt:lpwstr>
  </property>
</Properties>
</file>