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C1475A" w:rsidRDefault="006516EB" w:rsidP="00863472">
      <w:pPr>
        <w:pStyle w:val="NormalWeb"/>
        <w:jc w:val="center"/>
        <w:rPr>
          <w:rFonts w:ascii="Verdana" w:hAnsi="Verdana"/>
        </w:rPr>
      </w:pPr>
      <w:bookmarkStart w:id="0" w:name="_Hlk33784864"/>
      <w:r w:rsidRPr="00C1475A">
        <w:rPr>
          <w:rFonts w:ascii="Verdana" w:hAnsi="Verdana"/>
          <w:noProof/>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C1475A" w:rsidRDefault="008819F8" w:rsidP="00863472">
      <w:pPr>
        <w:rPr>
          <w:szCs w:val="24"/>
        </w:rPr>
      </w:pPr>
    </w:p>
    <w:p w14:paraId="6E0E6040" w14:textId="7F516A0D" w:rsidR="00743DDB" w:rsidRPr="00C1475A" w:rsidRDefault="007F069A" w:rsidP="00863472">
      <w:pPr>
        <w:pStyle w:val="NoSpacing"/>
        <w:rPr>
          <w:rFonts w:ascii="Arial" w:hAnsi="Arial" w:cs="Arial"/>
          <w:iCs/>
          <w:sz w:val="24"/>
          <w:szCs w:val="24"/>
        </w:rPr>
      </w:pPr>
      <w:r>
        <w:rPr>
          <w:rFonts w:ascii="Arial" w:hAnsi="Arial" w:cs="Arial"/>
          <w:iCs/>
          <w:sz w:val="24"/>
          <w:szCs w:val="24"/>
        </w:rPr>
        <w:t>December 20</w:t>
      </w:r>
      <w:r w:rsidR="008129A3" w:rsidRPr="00C1475A">
        <w:rPr>
          <w:rFonts w:ascii="Arial" w:hAnsi="Arial" w:cs="Arial"/>
          <w:iCs/>
          <w:sz w:val="24"/>
          <w:szCs w:val="24"/>
        </w:rPr>
        <w:t>, 20</w:t>
      </w:r>
      <w:r w:rsidR="001F686F" w:rsidRPr="00C1475A">
        <w:rPr>
          <w:rFonts w:ascii="Arial" w:hAnsi="Arial" w:cs="Arial"/>
          <w:iCs/>
          <w:sz w:val="24"/>
          <w:szCs w:val="24"/>
        </w:rPr>
        <w:t>2</w:t>
      </w:r>
      <w:r w:rsidR="006762BB" w:rsidRPr="00C1475A">
        <w:rPr>
          <w:rFonts w:ascii="Arial" w:hAnsi="Arial" w:cs="Arial"/>
          <w:iCs/>
          <w:sz w:val="24"/>
          <w:szCs w:val="24"/>
        </w:rPr>
        <w:t>3</w:t>
      </w:r>
    </w:p>
    <w:p w14:paraId="6E0E6041" w14:textId="26581954" w:rsidR="00E55131" w:rsidRPr="00C1475A" w:rsidRDefault="00E55131" w:rsidP="00863472">
      <w:pPr>
        <w:pStyle w:val="NoSpacing"/>
        <w:rPr>
          <w:rFonts w:ascii="Arial" w:hAnsi="Arial" w:cs="Arial"/>
          <w:i/>
          <w:sz w:val="24"/>
          <w:szCs w:val="24"/>
          <w:u w:val="single"/>
        </w:rPr>
      </w:pPr>
    </w:p>
    <w:p w14:paraId="010705E1" w14:textId="77777777" w:rsidR="007D54CE" w:rsidRPr="00C1475A" w:rsidRDefault="007D54CE" w:rsidP="007D54CE">
      <w:pPr>
        <w:pStyle w:val="NoSpacing"/>
        <w:rPr>
          <w:rFonts w:ascii="Arial" w:hAnsi="Arial" w:cs="Arial"/>
          <w:iCs/>
          <w:color w:val="000066"/>
          <w:sz w:val="24"/>
          <w:szCs w:val="24"/>
        </w:rPr>
      </w:pPr>
      <w:r w:rsidRPr="00C1475A">
        <w:rPr>
          <w:rFonts w:ascii="Arial" w:hAnsi="Arial" w:cs="Arial"/>
          <w:iCs/>
          <w:color w:val="000066"/>
          <w:sz w:val="24"/>
          <w:szCs w:val="24"/>
        </w:rPr>
        <w:t>In This Update</w:t>
      </w:r>
    </w:p>
    <w:p w14:paraId="1CD06031" w14:textId="77777777" w:rsidR="007D54CE" w:rsidRPr="00C1475A" w:rsidRDefault="007D54CE" w:rsidP="00B62E6A">
      <w:pPr>
        <w:pStyle w:val="NoSpacing"/>
        <w:spacing w:before="120"/>
        <w:rPr>
          <w:rFonts w:ascii="Arial" w:hAnsi="Arial" w:cs="Arial"/>
          <w:i/>
          <w:color w:val="000066"/>
          <w:sz w:val="24"/>
          <w:szCs w:val="24"/>
          <w:u w:val="single"/>
        </w:rPr>
      </w:pPr>
    </w:p>
    <w:p w14:paraId="1AF0F7C3" w14:textId="551DCD90" w:rsidR="008515E7" w:rsidRPr="00E675A0" w:rsidRDefault="00396DB3" w:rsidP="00E675A0">
      <w:pPr>
        <w:pStyle w:val="TOC1"/>
        <w:spacing w:after="120"/>
        <w:rPr>
          <w:rFonts w:ascii="Arial" w:eastAsiaTheme="minorEastAsia" w:hAnsi="Arial" w:cs="Arial"/>
          <w:noProof/>
          <w:color w:val="000066"/>
          <w:kern w:val="2"/>
          <w:sz w:val="22"/>
          <w14:ligatures w14:val="standardContextual"/>
        </w:rPr>
      </w:pPr>
      <w:r w:rsidRPr="00C1475A">
        <w:rPr>
          <w:rFonts w:ascii="Arial" w:hAnsi="Arial" w:cs="Arial"/>
          <w:i/>
          <w:color w:val="000066"/>
          <w:szCs w:val="24"/>
        </w:rPr>
        <w:fldChar w:fldCharType="begin"/>
      </w:r>
      <w:r w:rsidRPr="00C1475A">
        <w:rPr>
          <w:rFonts w:ascii="Arial" w:hAnsi="Arial" w:cs="Arial"/>
          <w:i/>
          <w:color w:val="000066"/>
          <w:szCs w:val="24"/>
        </w:rPr>
        <w:instrText xml:space="preserve"> TOC \o "1-3" \n \h \z \u </w:instrText>
      </w:r>
      <w:r w:rsidRPr="00C1475A">
        <w:rPr>
          <w:rFonts w:ascii="Arial" w:hAnsi="Arial" w:cs="Arial"/>
          <w:i/>
          <w:color w:val="000066"/>
          <w:szCs w:val="24"/>
        </w:rPr>
        <w:fldChar w:fldCharType="separate"/>
      </w:r>
      <w:hyperlink w:anchor="_Toc152163259" w:history="1">
        <w:r w:rsidR="008515E7" w:rsidRPr="00E675A0">
          <w:rPr>
            <w:rStyle w:val="Hyperlink"/>
            <w:rFonts w:ascii="Arial" w:hAnsi="Arial" w:cs="Arial"/>
            <w:noProof/>
            <w:color w:val="000066"/>
          </w:rPr>
          <w:t>Required Use of Portfolio Manager for Green Mortgage Insurance Premium Compliance Reporting</w:t>
        </w:r>
      </w:hyperlink>
    </w:p>
    <w:p w14:paraId="295DB64E" w14:textId="5BA48975" w:rsidR="008515E7" w:rsidRPr="00E675A0" w:rsidRDefault="00115858" w:rsidP="00E675A0">
      <w:pPr>
        <w:pStyle w:val="TOC1"/>
        <w:spacing w:after="120"/>
        <w:rPr>
          <w:rFonts w:ascii="Arial" w:eastAsiaTheme="minorEastAsia" w:hAnsi="Arial" w:cs="Arial"/>
          <w:noProof/>
          <w:color w:val="000066"/>
          <w:kern w:val="2"/>
          <w:sz w:val="22"/>
          <w14:ligatures w14:val="standardContextual"/>
        </w:rPr>
      </w:pPr>
      <w:hyperlink w:anchor="_Toc152163260" w:history="1">
        <w:r w:rsidR="008515E7" w:rsidRPr="00E675A0">
          <w:rPr>
            <w:rStyle w:val="Hyperlink"/>
            <w:rFonts w:ascii="Arial" w:hAnsi="Arial" w:cs="Arial"/>
            <w:noProof/>
            <w:color w:val="000066"/>
          </w:rPr>
          <w:t>Department of Labor Publishes Final Rule Updating Davis-Bacon and Related Acts Regulations</w:t>
        </w:r>
      </w:hyperlink>
    </w:p>
    <w:p w14:paraId="0B27863C" w14:textId="1F1D88F3" w:rsidR="008515E7" w:rsidRPr="00E675A0" w:rsidRDefault="00115858" w:rsidP="00E675A0">
      <w:pPr>
        <w:pStyle w:val="TOC1"/>
        <w:spacing w:after="120"/>
        <w:rPr>
          <w:rFonts w:ascii="Arial" w:eastAsiaTheme="minorEastAsia" w:hAnsi="Arial" w:cs="Arial"/>
          <w:noProof/>
          <w:color w:val="000066"/>
          <w:kern w:val="2"/>
          <w:sz w:val="22"/>
          <w14:ligatures w14:val="standardContextual"/>
        </w:rPr>
      </w:pPr>
      <w:hyperlink w:anchor="_Toc152163261" w:history="1">
        <w:r w:rsidR="008515E7" w:rsidRPr="00E675A0">
          <w:rPr>
            <w:rStyle w:val="Hyperlink"/>
            <w:rFonts w:ascii="Arial" w:hAnsi="Arial" w:cs="Arial"/>
            <w:noProof/>
            <w:color w:val="000066"/>
          </w:rPr>
          <w:t>Reminders on Environmental Items</w:t>
        </w:r>
      </w:hyperlink>
    </w:p>
    <w:p w14:paraId="6E0E6047" w14:textId="0655729C" w:rsidR="00743DDB" w:rsidRPr="00C1475A" w:rsidRDefault="00396DB3" w:rsidP="00B62E6A">
      <w:pPr>
        <w:spacing w:before="120"/>
        <w:rPr>
          <w:rFonts w:ascii="Arial" w:hAnsi="Arial" w:cs="Arial"/>
          <w:iCs/>
          <w:szCs w:val="24"/>
        </w:rPr>
      </w:pPr>
      <w:r w:rsidRPr="00C1475A">
        <w:rPr>
          <w:rFonts w:ascii="Arial" w:hAnsi="Arial" w:cs="Arial"/>
          <w:i/>
          <w:color w:val="000066"/>
          <w:szCs w:val="24"/>
        </w:rPr>
        <w:fldChar w:fldCharType="end"/>
      </w:r>
    </w:p>
    <w:p w14:paraId="5A625462" w14:textId="77777777" w:rsidR="000112A7" w:rsidRPr="00C1475A" w:rsidRDefault="000112A7" w:rsidP="00863472">
      <w:pPr>
        <w:rPr>
          <w:rFonts w:ascii="Arial" w:hAnsi="Arial" w:cs="Arial"/>
          <w:iCs/>
          <w:szCs w:val="24"/>
        </w:rPr>
      </w:pPr>
    </w:p>
    <w:p w14:paraId="0DC2BEF5" w14:textId="035C6C9E" w:rsidR="009C39B6" w:rsidRPr="00384D4B" w:rsidRDefault="009C39B6" w:rsidP="00E675A0">
      <w:pPr>
        <w:pStyle w:val="EmailBlast"/>
        <w:rPr>
          <w:sz w:val="24"/>
          <w:szCs w:val="24"/>
        </w:rPr>
      </w:pPr>
      <w:bookmarkStart w:id="1" w:name="_Toc380585836"/>
      <w:bookmarkStart w:id="2" w:name="_Toc152163259"/>
      <w:bookmarkStart w:id="3" w:name="_Hlk137620511"/>
      <w:bookmarkEnd w:id="1"/>
      <w:r w:rsidRPr="009403A6">
        <w:t>Required Use of Portfolio Manager for Green Mortgage Insurance Premium Compliance Reporting</w:t>
      </w:r>
      <w:bookmarkEnd w:id="2"/>
    </w:p>
    <w:p w14:paraId="2677F8D2" w14:textId="58312BAF" w:rsidR="009C39B6" w:rsidRPr="009403A6" w:rsidRDefault="009C39B6" w:rsidP="009C39B6">
      <w:pPr>
        <w:rPr>
          <w:rFonts w:ascii="Arial" w:hAnsi="Arial" w:cs="Arial"/>
          <w14:ligatures w14:val="standardContextual"/>
        </w:rPr>
      </w:pPr>
      <w:r w:rsidRPr="009403A6">
        <w:rPr>
          <w:rFonts w:ascii="Arial" w:hAnsi="Arial" w:cs="Arial"/>
          <w14:ligatures w14:val="standardContextual"/>
        </w:rPr>
        <w:t xml:space="preserve">On November 20, 2023, HUD’s Office of Multifamily Housing Programs and Office of Residential Care Facilities published a Housing Notice titled </w:t>
      </w:r>
      <w:bookmarkStart w:id="4" w:name="_Hlk152157216"/>
      <w:r w:rsidRPr="009403A6">
        <w:rPr>
          <w:rFonts w:ascii="Arial" w:hAnsi="Arial" w:cs="Arial"/>
          <w:b/>
          <w:bCs/>
          <w14:ligatures w14:val="standardContextual"/>
        </w:rPr>
        <w:t>Required Use of Portfolio Manager for Green Mortgage Insurance Premium Compliance Reporting</w:t>
      </w:r>
      <w:bookmarkEnd w:id="4"/>
      <w:r w:rsidRPr="009403A6">
        <w:rPr>
          <w:rFonts w:ascii="Arial" w:hAnsi="Arial" w:cs="Arial"/>
          <w14:ligatures w14:val="standardContextual"/>
        </w:rPr>
        <w:t xml:space="preserve">, which pertains to changes to annual compliance reporting for Green Mortgage Premium (MIP) rate recipients. The Notice replaces previous instructions provided to Section 232 properties as noted in ML 2022-13. Read the full Notice </w:t>
      </w:r>
      <w:hyperlink r:id="rId12" w:tgtFrame="_blank" w:history="1">
        <w:r w:rsidRPr="009403A6">
          <w:rPr>
            <w:rFonts w:ascii="Arial" w:hAnsi="Arial" w:cs="Arial"/>
            <w:color w:val="0563C1"/>
            <w:u w:val="single"/>
            <w14:ligatures w14:val="standardContextual"/>
          </w:rPr>
          <w:t>here.</w:t>
        </w:r>
      </w:hyperlink>
      <w:r w:rsidRPr="009403A6">
        <w:rPr>
          <w:rFonts w:ascii="Arial" w:hAnsi="Arial" w:cs="Arial"/>
          <w14:ligatures w14:val="standardContextual"/>
        </w:rPr>
        <w:t> </w:t>
      </w:r>
    </w:p>
    <w:p w14:paraId="63914D82" w14:textId="77777777" w:rsidR="009C39B6" w:rsidRPr="009403A6" w:rsidRDefault="009C39B6" w:rsidP="009C39B6">
      <w:pPr>
        <w:rPr>
          <w:rFonts w:ascii="Arial" w:hAnsi="Arial" w:cs="Arial"/>
          <w14:ligatures w14:val="standardContextual"/>
        </w:rPr>
      </w:pPr>
    </w:p>
    <w:p w14:paraId="58574E10" w14:textId="77777777" w:rsidR="009C39B6" w:rsidRPr="009403A6" w:rsidRDefault="009C39B6" w:rsidP="009C39B6">
      <w:pPr>
        <w:rPr>
          <w:rFonts w:ascii="Arial" w:hAnsi="Arial" w:cs="Arial"/>
          <w14:ligatures w14:val="standardContextual"/>
        </w:rPr>
      </w:pPr>
      <w:r w:rsidRPr="009403A6">
        <w:rPr>
          <w:rFonts w:ascii="Arial" w:hAnsi="Arial" w:cs="Arial"/>
          <w14:ligatures w14:val="standardContextual"/>
        </w:rPr>
        <w:t xml:space="preserve">The Office of Residential Care Facilities owners must benchmark their properties using the Environmental Protection Agency (EPA)’s ENERGY STAR® Portfolio Manager® for Green MIP loans starting with all applications submitted on or after January 1, 2024.  The client will be required to create an account </w:t>
      </w:r>
      <w:proofErr w:type="gramStart"/>
      <w:r w:rsidRPr="009403A6">
        <w:rPr>
          <w:rFonts w:ascii="Arial" w:hAnsi="Arial" w:cs="Arial"/>
          <w14:ligatures w14:val="standardContextual"/>
        </w:rPr>
        <w:t>in Portfolio</w:t>
      </w:r>
      <w:proofErr w:type="gramEnd"/>
      <w:r w:rsidRPr="009403A6">
        <w:rPr>
          <w:rFonts w:ascii="Arial" w:hAnsi="Arial" w:cs="Arial"/>
          <w14:ligatures w14:val="standardContextual"/>
        </w:rPr>
        <w:t xml:space="preserve"> Manager and enter queried property information. For Section 232 properties, the user must select ORCF Benchmarking and use the </w:t>
      </w:r>
      <w:r w:rsidRPr="009403A6">
        <w:rPr>
          <w:rFonts w:ascii="Arial" w:hAnsi="Arial" w:cs="Arial"/>
          <w:color w:val="000000"/>
          <w14:ligatures w14:val="standardContextual"/>
        </w:rPr>
        <w:t>Healthcare</w:t>
      </w:r>
      <w:r w:rsidRPr="009403A6">
        <w:rPr>
          <w:rFonts w:ascii="Arial" w:hAnsi="Arial" w:cs="Arial"/>
          <w14:ligatures w14:val="standardContextual"/>
        </w:rPr>
        <w:t>, “</w:t>
      </w:r>
      <w:r w:rsidRPr="009403A6">
        <w:rPr>
          <w:rFonts w:ascii="Arial" w:hAnsi="Arial" w:cs="Arial"/>
          <w:color w:val="000000"/>
          <w14:ligatures w14:val="standardContextual"/>
        </w:rPr>
        <w:t>Senior Living Community</w:t>
      </w:r>
      <w:r w:rsidRPr="009403A6">
        <w:rPr>
          <w:rFonts w:ascii="Arial" w:hAnsi="Arial" w:cs="Arial"/>
          <w14:ligatures w14:val="standardContextual"/>
        </w:rPr>
        <w:t>”</w:t>
      </w:r>
      <w:r w:rsidRPr="009403A6">
        <w:rPr>
          <w:rFonts w:ascii="Arial" w:hAnsi="Arial" w:cs="Arial"/>
          <w:color w:val="000000"/>
          <w14:ligatures w14:val="standardContextual"/>
        </w:rPr>
        <w:t xml:space="preserve"> property type in</w:t>
      </w:r>
      <w:r w:rsidRPr="009403A6">
        <w:rPr>
          <w:rFonts w:ascii="Arial" w:hAnsi="Arial" w:cs="Arial"/>
          <w14:ligatures w14:val="standardContextual"/>
        </w:rPr>
        <w:t xml:space="preserve"> Portfolio Manager</w:t>
      </w:r>
      <w:r w:rsidRPr="009403A6">
        <w:rPr>
          <w:rFonts w:ascii="Arial" w:hAnsi="Arial" w:cs="Arial"/>
          <w:color w:val="000000"/>
          <w14:ligatures w14:val="standardContextual"/>
        </w:rPr>
        <w:t xml:space="preserve">.  To gain access to the benchmarking tool, property owner(s) can create a no-cost account at </w:t>
      </w:r>
      <w:hyperlink r:id="rId13" w:history="1">
        <w:r w:rsidRPr="009403A6">
          <w:rPr>
            <w:rFonts w:ascii="Arial" w:hAnsi="Arial" w:cs="Arial"/>
            <w:color w:val="0563C1"/>
            <w:u w:val="single"/>
            <w14:ligatures w14:val="standardContextual"/>
          </w:rPr>
          <w:t>Portfolio Manager Login | ENERGY STAR</w:t>
        </w:r>
      </w:hyperlink>
      <w:r w:rsidRPr="009403A6">
        <w:rPr>
          <w:rFonts w:ascii="Arial" w:hAnsi="Arial" w:cs="Arial"/>
          <w14:ligatures w14:val="standardContextual"/>
        </w:rPr>
        <w:t>.  </w:t>
      </w:r>
    </w:p>
    <w:p w14:paraId="285AB3D9" w14:textId="77777777" w:rsidR="009C39B6" w:rsidRPr="009403A6" w:rsidRDefault="009C39B6" w:rsidP="009C39B6">
      <w:pPr>
        <w:rPr>
          <w:rFonts w:ascii="Arial" w:hAnsi="Arial" w:cs="Arial"/>
          <w14:ligatures w14:val="standardContextual"/>
        </w:rPr>
      </w:pPr>
    </w:p>
    <w:p w14:paraId="3AB26539" w14:textId="4552ECEB" w:rsidR="009C39B6" w:rsidRPr="009403A6" w:rsidRDefault="009C39B6" w:rsidP="009C39B6">
      <w:pPr>
        <w:rPr>
          <w:rFonts w:ascii="Arial" w:hAnsi="Arial" w:cs="Arial"/>
          <w14:ligatures w14:val="standardContextual"/>
        </w:rPr>
      </w:pPr>
      <w:r w:rsidRPr="009403A6">
        <w:rPr>
          <w:rFonts w:ascii="Arial" w:hAnsi="Arial" w:cs="Arial"/>
          <w14:ligatures w14:val="standardContextual"/>
        </w:rPr>
        <w:t>ORCF existing properties pursuing a Green MIP loan are required to benchmark both energy and water though Portfolio Manager in accordance with the benchmarking instructions.  The benchmarked Statement of Energy Performance (SEP) must also be delivered with the mortgage application as required by ML</w:t>
      </w:r>
      <w:r w:rsidR="00E675A0">
        <w:rPr>
          <w:rFonts w:ascii="Arial" w:hAnsi="Arial" w:cs="Arial"/>
          <w14:ligatures w14:val="standardContextual"/>
        </w:rPr>
        <w:t xml:space="preserve"> 2022-13</w:t>
      </w:r>
      <w:r w:rsidRPr="009403A6">
        <w:rPr>
          <w:rFonts w:ascii="Arial" w:hAnsi="Arial" w:cs="Arial"/>
          <w14:ligatures w14:val="standardContextual"/>
        </w:rPr>
        <w:t xml:space="preserve">.  The Statement of Energy Intent is not benchmarked but is delivered with the loan application.  After the retrofits or construction is complete, the client will submit the post-improvement (as-is) </w:t>
      </w:r>
      <w:r w:rsidRPr="009403A6">
        <w:rPr>
          <w:rFonts w:ascii="Arial" w:hAnsi="Arial" w:cs="Arial"/>
          <w14:ligatures w14:val="standardContextual"/>
        </w:rPr>
        <w:lastRenderedPageBreak/>
        <w:t xml:space="preserve">Statement of Energy Performance (SEP) in Portfolio Manager for both New Construction, Substantial Rehabilitation and Existing projects, then annually. </w:t>
      </w:r>
    </w:p>
    <w:p w14:paraId="68E209EE" w14:textId="77777777" w:rsidR="009C39B6" w:rsidRPr="009403A6" w:rsidRDefault="009C39B6" w:rsidP="009C39B6">
      <w:pPr>
        <w:rPr>
          <w:rFonts w:ascii="Arial" w:hAnsi="Arial" w:cs="Arial"/>
          <w14:ligatures w14:val="standardContextual"/>
        </w:rPr>
      </w:pPr>
    </w:p>
    <w:p w14:paraId="42A3E194" w14:textId="77777777" w:rsidR="009C39B6" w:rsidRPr="009403A6" w:rsidRDefault="009C39B6" w:rsidP="009C39B6">
      <w:pPr>
        <w:rPr>
          <w:rFonts w:ascii="Arial" w:hAnsi="Arial" w:cs="Arial"/>
          <w14:ligatures w14:val="standardContextual"/>
        </w:rPr>
      </w:pPr>
      <w:r w:rsidRPr="009403A6">
        <w:rPr>
          <w:rFonts w:ascii="Arial" w:hAnsi="Arial" w:cs="Arial"/>
          <w14:ligatures w14:val="standardContextual"/>
        </w:rPr>
        <w:t xml:space="preserve">Annual SEPs will be submitted through Portfolio Manager no later than March 31 </w:t>
      </w:r>
      <w:r w:rsidRPr="009403A6">
        <w:rPr>
          <w:rFonts w:ascii="Arial" w:hAnsi="Arial" w:cs="Arial"/>
          <w:i/>
          <w:iCs/>
          <w14:ligatures w14:val="standardContextual"/>
        </w:rPr>
        <w:t>after</w:t>
      </w:r>
      <w:r w:rsidRPr="009403A6">
        <w:rPr>
          <w:rFonts w:ascii="Arial" w:hAnsi="Arial" w:cs="Arial"/>
          <w14:ligatures w14:val="standardContextual"/>
        </w:rPr>
        <w:t xml:space="preserve"> the 12-month data collection period of January 1 to December 31. Portfolio Manager will automatically gateway the benchmarked SEP data to HUD’s Integrated Real Estate Management System (</w:t>
      </w:r>
      <w:proofErr w:type="spellStart"/>
      <w:r w:rsidRPr="009403A6">
        <w:rPr>
          <w:rFonts w:ascii="Arial" w:hAnsi="Arial" w:cs="Arial"/>
          <w14:ligatures w14:val="standardContextual"/>
        </w:rPr>
        <w:t>iREMS</w:t>
      </w:r>
      <w:proofErr w:type="spellEnd"/>
      <w:r w:rsidRPr="009403A6">
        <w:rPr>
          <w:rFonts w:ascii="Arial" w:hAnsi="Arial" w:cs="Arial"/>
          <w14:ligatures w14:val="standardContextual"/>
        </w:rPr>
        <w:t>).  </w:t>
      </w:r>
    </w:p>
    <w:p w14:paraId="2411B6BF" w14:textId="77777777" w:rsidR="009C39B6" w:rsidRPr="009403A6" w:rsidRDefault="009C39B6" w:rsidP="009C39B6">
      <w:pPr>
        <w:rPr>
          <w:rFonts w:ascii="Arial" w:hAnsi="Arial" w:cs="Arial"/>
          <w14:ligatures w14:val="standardContextual"/>
        </w:rPr>
      </w:pPr>
    </w:p>
    <w:p w14:paraId="569C77E8" w14:textId="7252F237" w:rsidR="009C39B6" w:rsidRPr="009403A6" w:rsidRDefault="009C39B6" w:rsidP="009C39B6">
      <w:pPr>
        <w:rPr>
          <w:rFonts w:ascii="Arial" w:hAnsi="Arial" w:cs="Arial"/>
          <w14:ligatures w14:val="standardContextual"/>
        </w:rPr>
      </w:pPr>
      <w:r w:rsidRPr="009403A6">
        <w:rPr>
          <w:rFonts w:ascii="Arial" w:hAnsi="Arial" w:cs="Arial"/>
          <w14:ligatures w14:val="standardContextual"/>
        </w:rPr>
        <w:t xml:space="preserve">Please review Multifamily and ORCF’s Benchmarking Instructions here: </w:t>
      </w:r>
      <w:hyperlink r:id="rId14" w:history="1">
        <w:r w:rsidRPr="009403A6">
          <w:rPr>
            <w:rFonts w:ascii="Arial" w:hAnsi="Arial" w:cs="Arial"/>
            <w:color w:val="0563C1"/>
            <w:u w:val="single"/>
            <w14:ligatures w14:val="standardContextual"/>
          </w:rPr>
          <w:t>Benchmarking Instructions</w:t>
        </w:r>
      </w:hyperlink>
      <w:r w:rsidRPr="009403A6">
        <w:rPr>
          <w:rFonts w:ascii="Arial" w:hAnsi="Arial" w:cs="Arial"/>
          <w14:ligatures w14:val="standardContextual"/>
        </w:rPr>
        <w:t>.</w:t>
      </w:r>
    </w:p>
    <w:p w14:paraId="4BB0D3CD" w14:textId="77777777" w:rsidR="009C39B6" w:rsidRPr="009403A6" w:rsidRDefault="009C39B6" w:rsidP="009C39B6">
      <w:pPr>
        <w:ind w:left="720"/>
        <w:rPr>
          <w:rFonts w:ascii="Arial" w:hAnsi="Arial" w:cs="Arial"/>
          <w14:ligatures w14:val="standardContextual"/>
        </w:rPr>
      </w:pPr>
    </w:p>
    <w:p w14:paraId="4445033F" w14:textId="205C924D" w:rsidR="00EC2C20" w:rsidRPr="008515E7" w:rsidRDefault="009C39B6" w:rsidP="00EC2C20">
      <w:pPr>
        <w:rPr>
          <w:rFonts w:ascii="Arial" w:hAnsi="Arial" w:cs="Arial"/>
          <w14:ligatures w14:val="standardContextual"/>
        </w:rPr>
      </w:pPr>
      <w:r w:rsidRPr="009403A6">
        <w:rPr>
          <w:rFonts w:ascii="Arial" w:hAnsi="Arial" w:cs="Arial"/>
          <w:b/>
          <w:bCs/>
          <w:i/>
          <w:iCs/>
          <w14:ligatures w14:val="standardContextual"/>
        </w:rPr>
        <w:t>Keywords:</w:t>
      </w:r>
      <w:r w:rsidRPr="009403A6">
        <w:rPr>
          <w:rFonts w:ascii="Arial" w:hAnsi="Arial" w:cs="Arial"/>
          <w14:ligatures w14:val="standardContextual"/>
        </w:rPr>
        <w:t xml:space="preserve"> </w:t>
      </w:r>
      <w:r w:rsidRPr="009403A6">
        <w:rPr>
          <w:rFonts w:ascii="Arial" w:hAnsi="Arial" w:cs="Arial"/>
          <w:i/>
          <w:iCs/>
          <w14:ligatures w14:val="standardContextual"/>
        </w:rPr>
        <w:t>Green MIP, Benchmarking, Portfolio Manager</w:t>
      </w:r>
      <w:r w:rsidRPr="009403A6">
        <w:rPr>
          <w:rFonts w:ascii="Arial" w:hAnsi="Arial" w:cs="Arial"/>
          <w14:ligatures w14:val="standardContextual"/>
        </w:rPr>
        <w:t xml:space="preserve"> </w:t>
      </w:r>
    </w:p>
    <w:p w14:paraId="3BEFB600" w14:textId="77777777" w:rsidR="009C39B6" w:rsidRPr="00C1475A" w:rsidRDefault="009C39B6" w:rsidP="00B2122A">
      <w:pPr>
        <w:rPr>
          <w:rFonts w:ascii="Arial" w:eastAsia="MS Mincho" w:hAnsi="Arial" w:cs="Arial"/>
          <w:b/>
          <w:szCs w:val="24"/>
        </w:rPr>
      </w:pPr>
    </w:p>
    <w:p w14:paraId="682647E3" w14:textId="77777777" w:rsidR="00B7164F" w:rsidRPr="00C1475A" w:rsidRDefault="00115858" w:rsidP="00B7164F">
      <w:pPr>
        <w:rPr>
          <w:rFonts w:ascii="Arial" w:hAnsi="Arial" w:cs="Arial"/>
          <w:b/>
          <w:color w:val="365F91" w:themeColor="accent1" w:themeShade="BF"/>
          <w:szCs w:val="24"/>
        </w:rPr>
      </w:pPr>
      <w:hyperlink w:anchor="_top" w:history="1">
        <w:r w:rsidR="00B7164F" w:rsidRPr="00C1475A">
          <w:rPr>
            <w:rFonts w:ascii="Arial" w:hAnsi="Arial" w:cs="Arial"/>
            <w:color w:val="365F91" w:themeColor="accent1" w:themeShade="BF"/>
            <w:szCs w:val="24"/>
            <w:u w:val="single"/>
          </w:rPr>
          <w:t>Back to top</w:t>
        </w:r>
      </w:hyperlink>
    </w:p>
    <w:bookmarkEnd w:id="3"/>
    <w:p w14:paraId="6EE3B758" w14:textId="77777777" w:rsidR="003B1D3F" w:rsidRPr="00C1475A" w:rsidRDefault="003B1D3F" w:rsidP="00997C33">
      <w:pPr>
        <w:rPr>
          <w:rFonts w:ascii="Arial" w:hAnsi="Arial" w:cs="Arial"/>
          <w:szCs w:val="24"/>
        </w:rPr>
      </w:pPr>
    </w:p>
    <w:p w14:paraId="09564C37" w14:textId="07E60FCC" w:rsidR="004C195C" w:rsidRPr="00E675A0" w:rsidRDefault="00034672" w:rsidP="00E675A0">
      <w:pPr>
        <w:pStyle w:val="EmailBlast"/>
      </w:pPr>
      <w:bookmarkStart w:id="5" w:name="_Toc396209070"/>
      <w:bookmarkStart w:id="6" w:name="_Toc107392097"/>
      <w:bookmarkStart w:id="7" w:name="_Toc152163260"/>
      <w:r w:rsidRPr="00E675A0">
        <w:t>Department of Labor Publishes Final Rule Updating Davis-Bacon and Related Acts Regulations</w:t>
      </w:r>
      <w:bookmarkEnd w:id="7"/>
    </w:p>
    <w:p w14:paraId="2DB4FCF3" w14:textId="16B3C341" w:rsidR="00E5158B" w:rsidRPr="008515E7" w:rsidRDefault="00E5158B" w:rsidP="00E5158B">
      <w:pPr>
        <w:pStyle w:val="NormalWeb"/>
        <w:spacing w:after="75"/>
        <w:rPr>
          <w:rFonts w:ascii="Arial" w:hAnsi="Arial" w:cs="Arial"/>
        </w:rPr>
      </w:pPr>
      <w:r w:rsidRPr="008515E7">
        <w:rPr>
          <w:rFonts w:ascii="Arial" w:hAnsi="Arial" w:cs="Arial"/>
        </w:rPr>
        <w:t xml:space="preserve">On August 23, 2023, the Department of Labor (DOL) published the </w:t>
      </w:r>
      <w:hyperlink r:id="rId15" w:tgtFrame="_blank" w:history="1">
        <w:r w:rsidRPr="008515E7">
          <w:rPr>
            <w:rStyle w:val="Hyperlink"/>
            <w:rFonts w:ascii="Arial" w:hAnsi="Arial" w:cs="Arial"/>
            <w:color w:val="1D5782"/>
          </w:rPr>
          <w:t>final rule</w:t>
        </w:r>
      </w:hyperlink>
      <w:r w:rsidRPr="008515E7">
        <w:rPr>
          <w:rFonts w:ascii="Arial" w:hAnsi="Arial" w:cs="Arial"/>
        </w:rPr>
        <w:t xml:space="preserve"> that updates regulations issued under the Davis-Bacon and Related Acts.</w:t>
      </w:r>
    </w:p>
    <w:p w14:paraId="1358C029" w14:textId="77777777" w:rsidR="00E5158B" w:rsidRPr="008515E7" w:rsidRDefault="00E5158B" w:rsidP="00E5158B">
      <w:pPr>
        <w:pStyle w:val="NormalWeb"/>
        <w:spacing w:after="75"/>
        <w:rPr>
          <w:rFonts w:ascii="Arial" w:hAnsi="Arial" w:cs="Arial"/>
        </w:rPr>
      </w:pPr>
      <w:r w:rsidRPr="008515E7">
        <w:rPr>
          <w:rFonts w:ascii="Arial" w:hAnsi="Arial" w:cs="Arial"/>
        </w:rPr>
        <w:t> </w:t>
      </w:r>
    </w:p>
    <w:p w14:paraId="4ED09C1E" w14:textId="77777777" w:rsidR="00E5158B" w:rsidRPr="008515E7" w:rsidRDefault="00E5158B" w:rsidP="00E5158B">
      <w:pPr>
        <w:pStyle w:val="NormalWeb"/>
        <w:spacing w:after="75"/>
        <w:rPr>
          <w:rFonts w:ascii="Arial" w:hAnsi="Arial" w:cs="Arial"/>
        </w:rPr>
      </w:pPr>
      <w:r w:rsidRPr="008515E7">
        <w:rPr>
          <w:rStyle w:val="Strong"/>
          <w:rFonts w:ascii="Arial" w:hAnsi="Arial" w:cs="Arial"/>
        </w:rPr>
        <w:t>Please note the following:</w:t>
      </w:r>
    </w:p>
    <w:p w14:paraId="3401FFB8" w14:textId="77777777" w:rsidR="00E5158B" w:rsidRPr="008515E7" w:rsidRDefault="00E5158B" w:rsidP="00E5158B">
      <w:pPr>
        <w:numPr>
          <w:ilvl w:val="0"/>
          <w:numId w:val="49"/>
        </w:numPr>
        <w:spacing w:after="100" w:afterAutospacing="1"/>
        <w:rPr>
          <w:rFonts w:ascii="Arial" w:eastAsia="Times New Roman" w:hAnsi="Arial" w:cs="Arial"/>
          <w:szCs w:val="24"/>
        </w:rPr>
      </w:pPr>
      <w:r w:rsidRPr="008515E7">
        <w:rPr>
          <w:rFonts w:ascii="Arial" w:eastAsia="Times New Roman" w:hAnsi="Arial" w:cs="Arial"/>
          <w:szCs w:val="24"/>
        </w:rPr>
        <w:t>The final rule went into effect on October 23, 2023.</w:t>
      </w:r>
    </w:p>
    <w:p w14:paraId="4BBC00FF" w14:textId="1D432726" w:rsidR="00E5158B" w:rsidRPr="008515E7" w:rsidRDefault="00E5158B" w:rsidP="00E5158B">
      <w:pPr>
        <w:numPr>
          <w:ilvl w:val="0"/>
          <w:numId w:val="49"/>
        </w:numPr>
        <w:spacing w:before="100" w:beforeAutospacing="1" w:after="100" w:afterAutospacing="1"/>
        <w:rPr>
          <w:rFonts w:ascii="Arial" w:eastAsia="Times New Roman" w:hAnsi="Arial" w:cs="Arial"/>
          <w:szCs w:val="24"/>
        </w:rPr>
      </w:pPr>
      <w:r w:rsidRPr="008515E7">
        <w:rPr>
          <w:rFonts w:ascii="Arial" w:eastAsia="Times New Roman" w:hAnsi="Arial" w:cs="Arial"/>
          <w:szCs w:val="24"/>
        </w:rPr>
        <w:t xml:space="preserve">Provisions of this final rule regarding wage determination methodology and related </w:t>
      </w:r>
      <w:proofErr w:type="spellStart"/>
      <w:r w:rsidRPr="008515E7">
        <w:rPr>
          <w:rFonts w:ascii="Arial" w:eastAsia="Times New Roman" w:hAnsi="Arial" w:cs="Arial"/>
          <w:szCs w:val="24"/>
        </w:rPr>
        <w:t>part</w:t>
      </w:r>
      <w:proofErr w:type="spellEnd"/>
      <w:r w:rsidRPr="008515E7">
        <w:rPr>
          <w:rFonts w:ascii="Arial" w:eastAsia="Times New Roman" w:hAnsi="Arial" w:cs="Arial"/>
          <w:szCs w:val="24"/>
        </w:rPr>
        <w:t xml:space="preserve"> 1 provisions prescribing the content of wage determinations may be applied only to wage determination revisions completed by the Department</w:t>
      </w:r>
      <w:r w:rsidR="00E675A0">
        <w:rPr>
          <w:rFonts w:ascii="Arial" w:eastAsia="Times New Roman" w:hAnsi="Arial" w:cs="Arial"/>
          <w:szCs w:val="24"/>
        </w:rPr>
        <w:t xml:space="preserve"> of Labor</w:t>
      </w:r>
      <w:r w:rsidRPr="008515E7">
        <w:rPr>
          <w:rFonts w:ascii="Arial" w:eastAsia="Times New Roman" w:hAnsi="Arial" w:cs="Arial"/>
          <w:szCs w:val="24"/>
        </w:rPr>
        <w:t xml:space="preserve"> on or after October 23, 2023. Except </w:t>
      </w:r>
      <w:proofErr w:type="gramStart"/>
      <w:r w:rsidRPr="008515E7">
        <w:rPr>
          <w:rFonts w:ascii="Arial" w:eastAsia="Times New Roman" w:hAnsi="Arial" w:cs="Arial"/>
          <w:szCs w:val="24"/>
        </w:rPr>
        <w:t>with regard to</w:t>
      </w:r>
      <w:proofErr w:type="gramEnd"/>
      <w:r w:rsidRPr="008515E7">
        <w:rPr>
          <w:rFonts w:ascii="Arial" w:eastAsia="Times New Roman" w:hAnsi="Arial" w:cs="Arial"/>
          <w:szCs w:val="24"/>
        </w:rPr>
        <w:t xml:space="preserve"> § 1.6(c)(2)(iii), the provisions of this final rule are applicable only to contracts entered into after October 23, 2023.</w:t>
      </w:r>
    </w:p>
    <w:p w14:paraId="067F1799" w14:textId="77777777" w:rsidR="00E5158B" w:rsidRPr="008515E7" w:rsidRDefault="00E5158B" w:rsidP="00E5158B">
      <w:pPr>
        <w:numPr>
          <w:ilvl w:val="0"/>
          <w:numId w:val="49"/>
        </w:numPr>
        <w:spacing w:before="100" w:beforeAutospacing="1" w:after="100" w:afterAutospacing="1"/>
        <w:rPr>
          <w:rFonts w:ascii="Arial" w:eastAsia="Times New Roman" w:hAnsi="Arial" w:cs="Arial"/>
          <w:szCs w:val="24"/>
        </w:rPr>
      </w:pPr>
      <w:r w:rsidRPr="008515E7">
        <w:rPr>
          <w:rFonts w:ascii="Arial" w:eastAsia="Times New Roman" w:hAnsi="Arial" w:cs="Arial"/>
          <w:szCs w:val="24"/>
        </w:rPr>
        <w:t>Many of the amendments to part 5 of the regulations are regulatory changes that codify the Department of Labor's current practices and interpretations of existing regulations. As a result, such changes do not, in practical terms, impose new obligations on contractors or contracting agencies.</w:t>
      </w:r>
    </w:p>
    <w:p w14:paraId="54B8FDB5" w14:textId="77777777" w:rsidR="00E5158B" w:rsidRPr="008515E7" w:rsidRDefault="00E5158B" w:rsidP="00E5158B">
      <w:pPr>
        <w:numPr>
          <w:ilvl w:val="0"/>
          <w:numId w:val="49"/>
        </w:numPr>
        <w:spacing w:before="100" w:beforeAutospacing="1" w:after="100" w:afterAutospacing="1"/>
        <w:rPr>
          <w:rFonts w:ascii="Arial" w:eastAsia="Times New Roman" w:hAnsi="Arial" w:cs="Arial"/>
          <w:szCs w:val="24"/>
        </w:rPr>
      </w:pPr>
      <w:r w:rsidRPr="008515E7">
        <w:rPr>
          <w:rFonts w:ascii="Arial" w:eastAsia="Times New Roman" w:hAnsi="Arial" w:cs="Arial"/>
          <w:szCs w:val="24"/>
        </w:rPr>
        <w:t>For contracts that lock-in on or after the final rule effective date, October 23, 2023, Contractors should consider the changes in the final rule when analyzing internal controls, developing their bids, and negotiating contract pricing.</w:t>
      </w:r>
    </w:p>
    <w:p w14:paraId="57E9DA46" w14:textId="77777777" w:rsidR="00E5158B" w:rsidRPr="008515E7" w:rsidRDefault="00E5158B" w:rsidP="00E5158B">
      <w:pPr>
        <w:numPr>
          <w:ilvl w:val="0"/>
          <w:numId w:val="49"/>
        </w:numPr>
        <w:spacing w:before="100" w:beforeAutospacing="1" w:after="75"/>
        <w:rPr>
          <w:rFonts w:ascii="Arial" w:eastAsia="Times New Roman" w:hAnsi="Arial" w:cs="Arial"/>
          <w:szCs w:val="24"/>
        </w:rPr>
      </w:pPr>
      <w:r w:rsidRPr="008515E7">
        <w:rPr>
          <w:rFonts w:ascii="Arial" w:eastAsia="Times New Roman" w:hAnsi="Arial" w:cs="Arial"/>
          <w:szCs w:val="24"/>
        </w:rPr>
        <w:t>Contract clauses and related matters section of the rule covers the required contract clauses inserted into contracts.</w:t>
      </w:r>
    </w:p>
    <w:p w14:paraId="4167A13F" w14:textId="77777777" w:rsidR="00E5158B" w:rsidRPr="008515E7" w:rsidRDefault="00E5158B" w:rsidP="00E5158B">
      <w:pPr>
        <w:pStyle w:val="NormalWeb"/>
        <w:spacing w:after="75"/>
        <w:rPr>
          <w:rFonts w:ascii="Arial" w:hAnsi="Arial" w:cs="Arial"/>
        </w:rPr>
      </w:pPr>
      <w:r w:rsidRPr="008515E7">
        <w:rPr>
          <w:rFonts w:ascii="Arial" w:hAnsi="Arial" w:cs="Arial"/>
        </w:rPr>
        <w:t> </w:t>
      </w:r>
    </w:p>
    <w:p w14:paraId="3FA1C45B" w14:textId="77777777" w:rsidR="00E5158B" w:rsidRPr="008515E7" w:rsidRDefault="00E5158B" w:rsidP="00E5158B">
      <w:pPr>
        <w:pStyle w:val="NormalWeb"/>
        <w:spacing w:after="75"/>
        <w:rPr>
          <w:rFonts w:ascii="Arial" w:hAnsi="Arial" w:cs="Arial"/>
        </w:rPr>
      </w:pPr>
      <w:r w:rsidRPr="008515E7">
        <w:rPr>
          <w:rStyle w:val="Strong"/>
          <w:rFonts w:ascii="Arial" w:hAnsi="Arial" w:cs="Arial"/>
        </w:rPr>
        <w:t>Office of Residential Care Facilities Implementation</w:t>
      </w:r>
    </w:p>
    <w:p w14:paraId="3BF6A210" w14:textId="3C1A8E6A" w:rsidR="00E5158B" w:rsidRPr="008515E7" w:rsidRDefault="00E5158B" w:rsidP="00E5158B">
      <w:pPr>
        <w:pStyle w:val="NormalWeb"/>
        <w:spacing w:after="75"/>
        <w:rPr>
          <w:rFonts w:ascii="Arial" w:hAnsi="Arial" w:cs="Arial"/>
        </w:rPr>
      </w:pPr>
      <w:r w:rsidRPr="008515E7">
        <w:rPr>
          <w:rFonts w:ascii="Arial" w:hAnsi="Arial" w:cs="Arial"/>
        </w:rPr>
        <w:t xml:space="preserve">The Office of Residential Care Facilities </w:t>
      </w:r>
      <w:r w:rsidR="00151F3B">
        <w:rPr>
          <w:rFonts w:ascii="Arial" w:hAnsi="Arial" w:cs="Arial"/>
        </w:rPr>
        <w:t>will determine any needed edits to</w:t>
      </w:r>
      <w:r w:rsidRPr="008515E7">
        <w:rPr>
          <w:rFonts w:ascii="Arial" w:hAnsi="Arial" w:cs="Arial"/>
        </w:rPr>
        <w:t xml:space="preserve"> the </w:t>
      </w:r>
      <w:bookmarkStart w:id="8" w:name="_Hlk152156825"/>
      <w:r w:rsidRPr="008515E7">
        <w:rPr>
          <w:rFonts w:ascii="Arial" w:hAnsi="Arial" w:cs="Arial"/>
        </w:rPr>
        <w:t>Form HUD-92554</w:t>
      </w:r>
      <w:r w:rsidR="00620CC6">
        <w:rPr>
          <w:rFonts w:ascii="Arial" w:hAnsi="Arial" w:cs="Arial"/>
        </w:rPr>
        <w:t>-ORCF</w:t>
      </w:r>
      <w:r w:rsidRPr="008515E7">
        <w:rPr>
          <w:rFonts w:ascii="Arial" w:hAnsi="Arial" w:cs="Arial"/>
        </w:rPr>
        <w:t>, Supplement</w:t>
      </w:r>
      <w:r w:rsidR="00620CC6">
        <w:rPr>
          <w:rFonts w:ascii="Arial" w:hAnsi="Arial" w:cs="Arial"/>
        </w:rPr>
        <w:t>ary</w:t>
      </w:r>
      <w:r w:rsidRPr="008515E7">
        <w:rPr>
          <w:rFonts w:ascii="Arial" w:hAnsi="Arial" w:cs="Arial"/>
        </w:rPr>
        <w:t xml:space="preserve"> </w:t>
      </w:r>
      <w:r w:rsidR="00620CC6">
        <w:rPr>
          <w:rFonts w:ascii="Arial" w:hAnsi="Arial" w:cs="Arial"/>
        </w:rPr>
        <w:t xml:space="preserve">Conditions of the </w:t>
      </w:r>
      <w:r w:rsidRPr="008515E7">
        <w:rPr>
          <w:rFonts w:ascii="Arial" w:hAnsi="Arial" w:cs="Arial"/>
        </w:rPr>
        <w:t>Contract</w:t>
      </w:r>
      <w:bookmarkEnd w:id="8"/>
      <w:r w:rsidR="00620CC6">
        <w:rPr>
          <w:rFonts w:ascii="Arial" w:hAnsi="Arial" w:cs="Arial"/>
        </w:rPr>
        <w:t xml:space="preserve"> for Construction</w:t>
      </w:r>
      <w:r w:rsidRPr="008515E7">
        <w:rPr>
          <w:rFonts w:ascii="Arial" w:hAnsi="Arial" w:cs="Arial"/>
        </w:rPr>
        <w:t xml:space="preserve">, </w:t>
      </w:r>
      <w:proofErr w:type="gramStart"/>
      <w:r w:rsidR="00151F3B">
        <w:rPr>
          <w:rFonts w:ascii="Arial" w:hAnsi="Arial" w:cs="Arial"/>
        </w:rPr>
        <w:t>in light of</w:t>
      </w:r>
      <w:proofErr w:type="gramEnd"/>
      <w:r w:rsidR="00151F3B">
        <w:rPr>
          <w:rFonts w:ascii="Arial" w:hAnsi="Arial" w:cs="Arial"/>
        </w:rPr>
        <w:t xml:space="preserve"> these regulatory revisions, </w:t>
      </w:r>
      <w:r w:rsidRPr="008515E7">
        <w:rPr>
          <w:rFonts w:ascii="Arial" w:hAnsi="Arial" w:cs="Arial"/>
        </w:rPr>
        <w:t>in our next revision update, subject to OMB Paperwork Reduction Act approval.</w:t>
      </w:r>
    </w:p>
    <w:p w14:paraId="7FB412D4" w14:textId="5CAA4D0B" w:rsidR="00E5158B" w:rsidRPr="008515E7" w:rsidRDefault="00E5158B" w:rsidP="00E5158B">
      <w:pPr>
        <w:pStyle w:val="NormalWeb"/>
        <w:spacing w:after="75"/>
        <w:rPr>
          <w:rFonts w:ascii="Arial" w:hAnsi="Arial" w:cs="Arial"/>
        </w:rPr>
      </w:pPr>
    </w:p>
    <w:p w14:paraId="623E1377" w14:textId="45DD2C7C" w:rsidR="007E03EA" w:rsidRPr="008515E7" w:rsidRDefault="007A48DA" w:rsidP="007A48DA">
      <w:pPr>
        <w:pStyle w:val="NormalWeb"/>
        <w:spacing w:after="75"/>
        <w:rPr>
          <w:rFonts w:ascii="Arial" w:hAnsi="Arial" w:cs="Arial"/>
        </w:rPr>
      </w:pPr>
      <w:r w:rsidRPr="008515E7">
        <w:rPr>
          <w:rFonts w:ascii="Arial" w:hAnsi="Arial" w:cs="Arial"/>
        </w:rPr>
        <w:lastRenderedPageBreak/>
        <w:t>See the</w:t>
      </w:r>
      <w:r w:rsidR="00E5158B" w:rsidRPr="008515E7">
        <w:rPr>
          <w:rFonts w:ascii="Arial" w:hAnsi="Arial" w:cs="Arial"/>
        </w:rPr>
        <w:t xml:space="preserve"> </w:t>
      </w:r>
      <w:hyperlink r:id="rId16" w:tgtFrame="_blank" w:history="1">
        <w:r w:rsidR="00E5158B" w:rsidRPr="008515E7">
          <w:rPr>
            <w:rStyle w:val="Hyperlink"/>
            <w:rFonts w:ascii="Arial" w:hAnsi="Arial" w:cs="Arial"/>
            <w:color w:val="1D5782"/>
          </w:rPr>
          <w:t>DOL Final Rule</w:t>
        </w:r>
      </w:hyperlink>
      <w:r w:rsidR="00E5158B" w:rsidRPr="008515E7">
        <w:rPr>
          <w:rFonts w:ascii="Arial" w:hAnsi="Arial" w:cs="Arial"/>
        </w:rPr>
        <w:t xml:space="preserve"> for additional information.</w:t>
      </w:r>
    </w:p>
    <w:p w14:paraId="525F0F8E" w14:textId="77777777" w:rsidR="00E5158B" w:rsidRPr="008515E7" w:rsidRDefault="00E5158B" w:rsidP="00E675A0">
      <w:pPr>
        <w:pStyle w:val="EmailBlast"/>
      </w:pPr>
    </w:p>
    <w:p w14:paraId="47D95DC0" w14:textId="6C3F0488" w:rsidR="007E03EA" w:rsidRPr="008515E7" w:rsidRDefault="007E03EA" w:rsidP="0053493B">
      <w:pPr>
        <w:rPr>
          <w:rFonts w:ascii="Arial" w:hAnsi="Arial" w:cs="Arial"/>
          <w:i/>
          <w:iCs/>
          <w:szCs w:val="24"/>
        </w:rPr>
      </w:pPr>
      <w:r w:rsidRPr="008515E7">
        <w:rPr>
          <w:rFonts w:ascii="Arial" w:hAnsi="Arial" w:cs="Arial"/>
          <w:b/>
          <w:bCs/>
          <w:i/>
          <w:iCs/>
          <w:szCs w:val="24"/>
        </w:rPr>
        <w:t xml:space="preserve">Keywords: </w:t>
      </w:r>
      <w:r w:rsidR="001769F7">
        <w:rPr>
          <w:rFonts w:ascii="Arial" w:hAnsi="Arial" w:cs="Arial"/>
          <w:i/>
          <w:iCs/>
          <w:szCs w:val="24"/>
        </w:rPr>
        <w:t>Davis-Bacon</w:t>
      </w:r>
    </w:p>
    <w:p w14:paraId="64BA90B0" w14:textId="77777777" w:rsidR="00071985" w:rsidRPr="00C1475A" w:rsidRDefault="00071985" w:rsidP="0053493B">
      <w:pPr>
        <w:rPr>
          <w:rFonts w:ascii="Arial" w:eastAsia="MS Mincho" w:hAnsi="Arial" w:cs="Arial"/>
          <w:b/>
          <w:szCs w:val="24"/>
        </w:rPr>
      </w:pPr>
    </w:p>
    <w:p w14:paraId="671CEFCB" w14:textId="4459C2F9" w:rsidR="004F5ECC" w:rsidRPr="004F5ECC" w:rsidRDefault="00115858" w:rsidP="007E03EA">
      <w:pPr>
        <w:rPr>
          <w:rFonts w:ascii="Arial" w:hAnsi="Arial" w:cs="Arial"/>
          <w:color w:val="365F91" w:themeColor="accent1" w:themeShade="BF"/>
          <w:szCs w:val="24"/>
          <w:u w:val="single"/>
        </w:rPr>
      </w:pPr>
      <w:hyperlink w:anchor="_top" w:history="1">
        <w:r w:rsidR="007E03EA" w:rsidRPr="00C1475A">
          <w:rPr>
            <w:rFonts w:ascii="Arial" w:hAnsi="Arial" w:cs="Arial"/>
            <w:color w:val="365F91" w:themeColor="accent1" w:themeShade="BF"/>
            <w:szCs w:val="24"/>
            <w:u w:val="single"/>
          </w:rPr>
          <w:t>Back to top</w:t>
        </w:r>
      </w:hyperlink>
    </w:p>
    <w:bookmarkEnd w:id="0"/>
    <w:bookmarkEnd w:id="5"/>
    <w:bookmarkEnd w:id="6"/>
    <w:p w14:paraId="1EEF833D" w14:textId="77777777" w:rsidR="004F5ECC" w:rsidRDefault="004F5ECC" w:rsidP="00E675A0">
      <w:pPr>
        <w:pStyle w:val="EmailBlast"/>
      </w:pPr>
    </w:p>
    <w:p w14:paraId="22F59844" w14:textId="65CCABE2" w:rsidR="00D16B03" w:rsidRPr="00E675A0" w:rsidRDefault="00D16B03" w:rsidP="00E675A0">
      <w:pPr>
        <w:pStyle w:val="EmailBlast"/>
        <w:rPr>
          <w:color w:val="000000"/>
        </w:rPr>
      </w:pPr>
      <w:bookmarkStart w:id="9" w:name="_Toc152163261"/>
      <w:r w:rsidRPr="00E675A0">
        <w:t>Reminders on Environmental Items</w:t>
      </w:r>
      <w:bookmarkEnd w:id="9"/>
    </w:p>
    <w:p w14:paraId="42DF2339" w14:textId="77777777" w:rsidR="00D16B03" w:rsidRPr="008515E7" w:rsidRDefault="00D16B03" w:rsidP="00D16B03">
      <w:pPr>
        <w:rPr>
          <w:rFonts w:ascii="Arial" w:hAnsi="Arial" w:cs="Arial"/>
        </w:rPr>
      </w:pPr>
      <w:r w:rsidRPr="008515E7">
        <w:rPr>
          <w:rFonts w:ascii="Arial" w:hAnsi="Arial" w:cs="Arial"/>
        </w:rPr>
        <w:t>ORCF would like to remind lenders of a few environmental items:</w:t>
      </w:r>
    </w:p>
    <w:p w14:paraId="0557163B" w14:textId="77777777" w:rsidR="00D16B03" w:rsidRPr="008515E7" w:rsidRDefault="00D16B03" w:rsidP="008515E7">
      <w:pPr>
        <w:pStyle w:val="ListParagraph"/>
        <w:numPr>
          <w:ilvl w:val="0"/>
          <w:numId w:val="50"/>
        </w:numPr>
        <w:spacing w:before="120"/>
        <w:rPr>
          <w:rFonts w:ascii="Arial" w:eastAsia="Times New Roman" w:hAnsi="Arial" w:cs="Arial"/>
        </w:rPr>
      </w:pPr>
      <w:r w:rsidRPr="008515E7">
        <w:rPr>
          <w:rFonts w:ascii="Arial" w:eastAsia="Times New Roman" w:hAnsi="Arial" w:cs="Arial"/>
        </w:rPr>
        <w:t xml:space="preserve">Environmental items requiring repairs such as asbestos abatement, radon mitigation or recommendations of the Phase I consultant must be included in the repair list in the PCNA, in the Lender’s Narrative and in Exhibit C to the Firm Commitment.  </w:t>
      </w:r>
    </w:p>
    <w:p w14:paraId="78FC84B6" w14:textId="31626ED0" w:rsidR="00D16B03" w:rsidRPr="008515E7" w:rsidRDefault="00D16B03" w:rsidP="008515E7">
      <w:pPr>
        <w:pStyle w:val="ListParagraph"/>
        <w:numPr>
          <w:ilvl w:val="0"/>
          <w:numId w:val="50"/>
        </w:numPr>
        <w:spacing w:before="120"/>
        <w:rPr>
          <w:rFonts w:ascii="Arial" w:eastAsia="Times New Roman" w:hAnsi="Arial" w:cs="Arial"/>
        </w:rPr>
      </w:pPr>
      <w:r w:rsidRPr="008515E7">
        <w:rPr>
          <w:rFonts w:ascii="Arial" w:eastAsia="Times New Roman" w:hAnsi="Arial" w:cs="Arial"/>
        </w:rPr>
        <w:t xml:space="preserve">Radon Mitigation is considered to be a repair in excess of routine maintenance per </w:t>
      </w:r>
      <w:hyperlink r:id="rId17" w:history="1">
        <w:r w:rsidRPr="008515E7">
          <w:rPr>
            <w:rStyle w:val="Hyperlink"/>
            <w:rFonts w:ascii="Arial" w:eastAsia="Times New Roman" w:hAnsi="Arial" w:cs="Arial"/>
          </w:rPr>
          <w:t xml:space="preserve">CPD Memo </w:t>
        </w:r>
        <w:r w:rsidR="00CE5710">
          <w:rPr>
            <w:rStyle w:val="Hyperlink"/>
            <w:rFonts w:ascii="Arial" w:eastAsia="Times New Roman" w:hAnsi="Arial" w:cs="Arial"/>
          </w:rPr>
          <w:t>16-02</w:t>
        </w:r>
      </w:hyperlink>
      <w:r w:rsidRPr="008515E7">
        <w:rPr>
          <w:rFonts w:ascii="Arial" w:eastAsia="Times New Roman" w:hAnsi="Arial" w:cs="Arial"/>
        </w:rPr>
        <w:t>, so applications with Radon Mitigation are subject to Section 106 Historic Preservation review.</w:t>
      </w:r>
    </w:p>
    <w:p w14:paraId="0A7C2B90" w14:textId="21F91C9A" w:rsidR="00D16B03" w:rsidRPr="008515E7" w:rsidRDefault="00D16B03" w:rsidP="008515E7">
      <w:pPr>
        <w:pStyle w:val="ListParagraph"/>
        <w:numPr>
          <w:ilvl w:val="0"/>
          <w:numId w:val="50"/>
        </w:numPr>
        <w:spacing w:before="120"/>
        <w:rPr>
          <w:rFonts w:ascii="Arial" w:eastAsia="Times New Roman" w:hAnsi="Arial" w:cs="Arial"/>
        </w:rPr>
      </w:pPr>
      <w:r w:rsidRPr="008515E7">
        <w:rPr>
          <w:rFonts w:ascii="Arial" w:eastAsia="Times New Roman" w:hAnsi="Arial" w:cs="Arial"/>
        </w:rPr>
        <w:t xml:space="preserve">Repairs in the Repair list, Exhibit C to the Firm Commitment, must describe repairs in sufficient detail to facilitate inspections, schedules of repairs and credible bids.  When repairs are not sufficiently described, HUD staff and the State Historic Preservation Office </w:t>
      </w:r>
      <w:r w:rsidR="00B840A2">
        <w:rPr>
          <w:rFonts w:ascii="Arial" w:eastAsia="Times New Roman" w:hAnsi="Arial" w:cs="Arial"/>
        </w:rPr>
        <w:t>cannot</w:t>
      </w:r>
      <w:r w:rsidR="00E675A0">
        <w:rPr>
          <w:rFonts w:ascii="Arial" w:eastAsia="Times New Roman" w:hAnsi="Arial" w:cs="Arial"/>
        </w:rPr>
        <w:t xml:space="preserve"> </w:t>
      </w:r>
      <w:r w:rsidRPr="008515E7">
        <w:rPr>
          <w:rFonts w:ascii="Arial" w:eastAsia="Times New Roman" w:hAnsi="Arial" w:cs="Arial"/>
        </w:rPr>
        <w:t>determine whether a repair exceeds routine maintenance and whether the repair will have an adverse impact on historic properties.</w:t>
      </w:r>
    </w:p>
    <w:p w14:paraId="589FE716" w14:textId="77777777" w:rsidR="00D16B03" w:rsidRPr="008515E7" w:rsidRDefault="00D16B03" w:rsidP="00D16B03">
      <w:pPr>
        <w:rPr>
          <w:rFonts w:ascii="Arial" w:hAnsi="Arial" w:cs="Arial"/>
        </w:rPr>
      </w:pPr>
    </w:p>
    <w:p w14:paraId="29DE9A88" w14:textId="77777777" w:rsidR="004F5ECC" w:rsidRPr="008515E7" w:rsidRDefault="004F5ECC" w:rsidP="004F5ECC">
      <w:pPr>
        <w:rPr>
          <w:rFonts w:ascii="Arial" w:hAnsi="Arial" w:cs="Arial"/>
          <w:i/>
          <w:iCs/>
          <w:szCs w:val="24"/>
        </w:rPr>
      </w:pPr>
      <w:r w:rsidRPr="008515E7">
        <w:rPr>
          <w:rFonts w:ascii="Arial" w:hAnsi="Arial" w:cs="Arial"/>
          <w:b/>
          <w:bCs/>
          <w:i/>
          <w:iCs/>
          <w:szCs w:val="24"/>
        </w:rPr>
        <w:t xml:space="preserve">Keywords: </w:t>
      </w:r>
      <w:r w:rsidRPr="008515E7">
        <w:rPr>
          <w:rFonts w:ascii="Arial" w:hAnsi="Arial" w:cs="Arial"/>
          <w:i/>
          <w:iCs/>
          <w:szCs w:val="24"/>
        </w:rPr>
        <w:t>Underwriting</w:t>
      </w:r>
    </w:p>
    <w:p w14:paraId="5BDB1232" w14:textId="77777777" w:rsidR="004F5ECC" w:rsidRPr="008515E7" w:rsidRDefault="004F5ECC" w:rsidP="004F5ECC">
      <w:pPr>
        <w:rPr>
          <w:rFonts w:ascii="Arial" w:eastAsia="MS Mincho" w:hAnsi="Arial" w:cs="Arial"/>
          <w:b/>
          <w:szCs w:val="24"/>
        </w:rPr>
      </w:pPr>
    </w:p>
    <w:p w14:paraId="7E55EA3E" w14:textId="77777777" w:rsidR="004F5ECC" w:rsidRDefault="00115858" w:rsidP="004F5ECC">
      <w:pPr>
        <w:rPr>
          <w:rFonts w:ascii="Arial" w:hAnsi="Arial" w:cs="Arial"/>
          <w:color w:val="365F91" w:themeColor="accent1" w:themeShade="BF"/>
          <w:szCs w:val="24"/>
          <w:u w:val="single"/>
        </w:rPr>
      </w:pPr>
      <w:hyperlink w:anchor="_top" w:history="1">
        <w:r w:rsidR="004F5ECC" w:rsidRPr="00C1475A">
          <w:rPr>
            <w:rFonts w:ascii="Arial" w:hAnsi="Arial" w:cs="Arial"/>
            <w:color w:val="365F91" w:themeColor="accent1" w:themeShade="BF"/>
            <w:szCs w:val="24"/>
            <w:u w:val="single"/>
          </w:rPr>
          <w:t>Back to top</w:t>
        </w:r>
      </w:hyperlink>
    </w:p>
    <w:p w14:paraId="11EB4662" w14:textId="77777777" w:rsidR="00E675A0" w:rsidRDefault="00E675A0" w:rsidP="00740D11">
      <w:pPr>
        <w:rPr>
          <w:rFonts w:ascii="Arial" w:eastAsia="MS Mincho" w:hAnsi="Arial" w:cs="Arial"/>
          <w:b/>
          <w:szCs w:val="24"/>
        </w:rPr>
      </w:pPr>
    </w:p>
    <w:p w14:paraId="7C37E564" w14:textId="76540FB3" w:rsidR="00CB59F5" w:rsidRPr="00C1475A" w:rsidRDefault="008D40DE" w:rsidP="00740D11">
      <w:pPr>
        <w:rPr>
          <w:rFonts w:ascii="Arial" w:eastAsia="MS Mincho" w:hAnsi="Arial" w:cs="Arial"/>
          <w:b/>
          <w:szCs w:val="24"/>
        </w:rPr>
      </w:pPr>
      <w:r w:rsidRPr="00C1475A">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11370BDD">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83BA37"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9F5" w:rsidRPr="00C1475A" w14:paraId="4F8262DD" w14:textId="77777777" w:rsidTr="00BE7767">
        <w:trPr>
          <w:tblCellSpacing w:w="0" w:type="dxa"/>
          <w:jc w:val="center"/>
        </w:trPr>
        <w:tc>
          <w:tcPr>
            <w:tcW w:w="0" w:type="auto"/>
            <w:tcMar>
              <w:top w:w="300" w:type="dxa"/>
              <w:left w:w="0" w:type="dxa"/>
              <w:bottom w:w="150" w:type="dxa"/>
              <w:right w:w="0" w:type="dxa"/>
            </w:tcMar>
            <w:vAlign w:val="center"/>
            <w:hideMark/>
          </w:tcPr>
          <w:p w14:paraId="07681D47" w14:textId="77777777" w:rsidR="00CB59F5" w:rsidRPr="00C1475A" w:rsidRDefault="00CB59F5" w:rsidP="00BE7767">
            <w:pPr>
              <w:pStyle w:val="NormalWeb"/>
              <w:spacing w:before="120"/>
              <w:jc w:val="center"/>
              <w:rPr>
                <w:rFonts w:ascii="Calibri" w:hAnsi="Calibri"/>
              </w:rPr>
            </w:pPr>
            <w:r w:rsidRPr="00C1475A">
              <w:rPr>
                <w:rFonts w:ascii="Arial" w:hAnsi="Arial" w:cs="Arial"/>
              </w:rPr>
              <w:t xml:space="preserve">Past Lean 232 Updates are </w:t>
            </w:r>
            <w:hyperlink r:id="rId18" w:tgtFrame="_blank" w:history="1">
              <w:r w:rsidRPr="00C1475A">
                <w:rPr>
                  <w:rStyle w:val="Hyperlink"/>
                  <w:rFonts w:ascii="Arial" w:hAnsi="Arial" w:cs="Arial"/>
                </w:rPr>
                <w:t>available online</w:t>
              </w:r>
            </w:hyperlink>
            <w:r w:rsidRPr="00C1475A">
              <w:rPr>
                <w:rFonts w:ascii="Arial" w:hAnsi="Arial" w:cs="Arial"/>
              </w:rPr>
              <w:t>.</w:t>
            </w:r>
          </w:p>
          <w:p w14:paraId="4037DF38" w14:textId="77777777" w:rsidR="00CB59F5" w:rsidRPr="00C1475A" w:rsidRDefault="00CB59F5" w:rsidP="00BE7767">
            <w:pPr>
              <w:pStyle w:val="NormalWeb"/>
              <w:spacing w:before="120"/>
              <w:jc w:val="center"/>
            </w:pPr>
            <w:r w:rsidRPr="00C1475A">
              <w:rPr>
                <w:rFonts w:ascii="Arial" w:hAnsi="Arial" w:cs="Arial"/>
              </w:rPr>
              <w:t xml:space="preserve">Have questions about the Lean 232 Program? Please contact </w:t>
            </w:r>
            <w:hyperlink r:id="rId19" w:history="1">
              <w:r w:rsidRPr="00C1475A">
                <w:rPr>
                  <w:rStyle w:val="Hyperlink"/>
                  <w:rFonts w:ascii="Arial" w:hAnsi="Arial" w:cs="Arial"/>
                </w:rPr>
                <w:t>LeanThinking@hud.gov</w:t>
              </w:r>
            </w:hyperlink>
            <w:r w:rsidRPr="00C1475A">
              <w:rPr>
                <w:rFonts w:ascii="Arial" w:hAnsi="Arial" w:cs="Arial"/>
              </w:rPr>
              <w:t>.</w:t>
            </w:r>
          </w:p>
          <w:p w14:paraId="3A7B4A8D" w14:textId="77777777" w:rsidR="00CB59F5" w:rsidRPr="00C1475A" w:rsidRDefault="00CB59F5" w:rsidP="00BE7767">
            <w:pPr>
              <w:pStyle w:val="NormalWeb"/>
              <w:spacing w:before="120"/>
              <w:jc w:val="center"/>
            </w:pPr>
            <w:r w:rsidRPr="00C1475A">
              <w:rPr>
                <w:rFonts w:ascii="Arial" w:hAnsi="Arial" w:cs="Arial"/>
              </w:rPr>
              <w:t xml:space="preserve">For more information on the Lean 232 Program, check out: </w:t>
            </w:r>
            <w:hyperlink r:id="rId20" w:history="1">
              <w:r w:rsidRPr="00C1475A">
                <w:rPr>
                  <w:rStyle w:val="Hyperlink"/>
                  <w:rFonts w:ascii="Arial" w:hAnsi="Arial" w:cs="Arial"/>
                </w:rPr>
                <w:t>http://www.hud.gov/healthcare</w:t>
              </w:r>
            </w:hyperlink>
            <w:r w:rsidRPr="00C1475A">
              <w:rPr>
                <w:rFonts w:ascii="Arial" w:hAnsi="Arial" w:cs="Arial"/>
              </w:rPr>
              <w:t>.</w:t>
            </w:r>
          </w:p>
          <w:p w14:paraId="26E7C995" w14:textId="77777777" w:rsidR="00CB59F5" w:rsidRPr="00C1475A" w:rsidRDefault="00CB59F5" w:rsidP="00BE7767">
            <w:pPr>
              <w:pStyle w:val="NormalWeb"/>
              <w:jc w:val="center"/>
            </w:pPr>
            <w:r w:rsidRPr="00C1475A">
              <w:t> </w:t>
            </w:r>
          </w:p>
          <w:p w14:paraId="252D221C" w14:textId="77777777" w:rsidR="00CB59F5" w:rsidRPr="00C1475A" w:rsidRDefault="00CB59F5" w:rsidP="00BE7767">
            <w:pPr>
              <w:pStyle w:val="NormalWeb"/>
              <w:jc w:val="center"/>
            </w:pPr>
            <w:r w:rsidRPr="00C1475A">
              <w:rPr>
                <w:rFonts w:ascii="Arial" w:hAnsi="Arial" w:cs="Arial"/>
              </w:rPr>
              <w:t>Stay Connected with the Office of Housing and the Federal Housing Administration:</w:t>
            </w:r>
          </w:p>
        </w:tc>
      </w:tr>
      <w:tr w:rsidR="00CB59F5" w:rsidRPr="00C1475A" w14:paraId="1C367CD3" w14:textId="77777777" w:rsidTr="00BE7767">
        <w:trPr>
          <w:tblCellSpacing w:w="0" w:type="dxa"/>
          <w:jc w:val="center"/>
        </w:trPr>
        <w:tc>
          <w:tcPr>
            <w:tcW w:w="0" w:type="auto"/>
            <w:tcMar>
              <w:top w:w="150" w:type="dxa"/>
              <w:left w:w="150" w:type="dxa"/>
              <w:bottom w:w="150" w:type="dxa"/>
              <w:right w:w="150" w:type="dxa"/>
            </w:tcMar>
            <w:vAlign w:val="center"/>
            <w:hideMark/>
          </w:tcPr>
          <w:p w14:paraId="58179831" w14:textId="77777777" w:rsidR="00CB59F5" w:rsidRPr="00C1475A" w:rsidRDefault="00CB59F5" w:rsidP="00BE7767">
            <w:pPr>
              <w:jc w:val="center"/>
              <w:rPr>
                <w:rFonts w:eastAsia="Times New Roman"/>
                <w:szCs w:val="24"/>
              </w:rPr>
            </w:pPr>
            <w:r w:rsidRPr="00C1475A">
              <w:rPr>
                <w:rFonts w:ascii="Arial" w:eastAsia="Times New Roman" w:hAnsi="Arial" w:cs="Arial"/>
                <w:noProof/>
                <w:color w:val="0000FF"/>
                <w:szCs w:val="24"/>
              </w:rPr>
              <w:drawing>
                <wp:inline distT="0" distB="0" distL="0" distR="0" wp14:anchorId="74419FC9" wp14:editId="149BC800">
                  <wp:extent cx="304800" cy="304800"/>
                  <wp:effectExtent l="0" t="0" r="0" b="0"/>
                  <wp:docPr id="4" name="Picture 4"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475A">
              <w:rPr>
                <w:rFonts w:ascii="Arial" w:eastAsia="Times New Roman" w:hAnsi="Arial" w:cs="Arial"/>
                <w:szCs w:val="24"/>
              </w:rPr>
              <w:t>  </w:t>
            </w:r>
            <w:r w:rsidRPr="00C1475A">
              <w:rPr>
                <w:rFonts w:ascii="Arial" w:eastAsia="Times New Roman" w:hAnsi="Arial" w:cs="Arial"/>
                <w:noProof/>
                <w:color w:val="0000FF"/>
                <w:szCs w:val="24"/>
              </w:rPr>
              <w:drawing>
                <wp:inline distT="0" distB="0" distL="0" distR="0" wp14:anchorId="375463B8" wp14:editId="3B825AC4">
                  <wp:extent cx="304800" cy="304800"/>
                  <wp:effectExtent l="0" t="0" r="0" b="0"/>
                  <wp:docPr id="5" name="Picture 5"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1475A">
              <w:rPr>
                <w:rFonts w:ascii="Arial" w:eastAsia="Times New Roman" w:hAnsi="Arial" w:cs="Arial"/>
                <w:szCs w:val="24"/>
              </w:rPr>
              <w:t> </w:t>
            </w:r>
          </w:p>
        </w:tc>
      </w:tr>
      <w:tr w:rsidR="00CB59F5" w:rsidRPr="00C1475A" w14:paraId="745176A5" w14:textId="77777777" w:rsidTr="00BE7767">
        <w:trPr>
          <w:tblCellSpacing w:w="0" w:type="dxa"/>
          <w:jc w:val="center"/>
        </w:trPr>
        <w:tc>
          <w:tcPr>
            <w:tcW w:w="0" w:type="auto"/>
            <w:tcMar>
              <w:top w:w="150" w:type="dxa"/>
              <w:left w:w="0" w:type="dxa"/>
              <w:bottom w:w="300" w:type="dxa"/>
              <w:right w:w="0" w:type="dxa"/>
            </w:tcMar>
            <w:vAlign w:val="center"/>
            <w:hideMark/>
          </w:tcPr>
          <w:p w14:paraId="715F6924" w14:textId="77777777" w:rsidR="00CB59F5" w:rsidRPr="00C1475A" w:rsidRDefault="00CB59F5" w:rsidP="00BE7767">
            <w:pPr>
              <w:jc w:val="center"/>
              <w:rPr>
                <w:rFonts w:ascii="Arial" w:eastAsia="Times New Roman" w:hAnsi="Arial" w:cs="Arial"/>
                <w:szCs w:val="24"/>
              </w:rPr>
            </w:pPr>
            <w:r w:rsidRPr="00C1475A">
              <w:rPr>
                <w:rFonts w:ascii="Arial" w:eastAsia="Times New Roman" w:hAnsi="Arial" w:cs="Arial"/>
                <w:szCs w:val="24"/>
              </w:rPr>
              <w:t>SUBSCRIBER SERVICES:</w:t>
            </w:r>
            <w:r w:rsidRPr="00C1475A">
              <w:rPr>
                <w:rFonts w:ascii="Arial" w:eastAsia="Times New Roman" w:hAnsi="Arial" w:cs="Arial"/>
                <w:szCs w:val="24"/>
              </w:rPr>
              <w:br/>
            </w:r>
            <w:hyperlink r:id="rId25" w:tooltip="Manage Subscriptions" w:history="1">
              <w:r w:rsidRPr="00C1475A">
                <w:rPr>
                  <w:rStyle w:val="Hyperlink"/>
                  <w:rFonts w:ascii="Arial" w:eastAsia="Times New Roman" w:hAnsi="Arial" w:cs="Arial"/>
                  <w:szCs w:val="24"/>
                </w:rPr>
                <w:t>Manage Subscriptions</w:t>
              </w:r>
            </w:hyperlink>
            <w:r w:rsidRPr="00C1475A">
              <w:rPr>
                <w:rFonts w:ascii="Arial" w:eastAsia="Times New Roman" w:hAnsi="Arial" w:cs="Arial"/>
                <w:szCs w:val="24"/>
              </w:rPr>
              <w:t xml:space="preserve">  |  </w:t>
            </w:r>
            <w:hyperlink r:id="rId26" w:history="1">
              <w:r w:rsidRPr="00C1475A">
                <w:rPr>
                  <w:rStyle w:val="Hyperlink"/>
                  <w:rFonts w:ascii="Arial" w:eastAsia="Times New Roman" w:hAnsi="Arial" w:cs="Arial"/>
                  <w:szCs w:val="24"/>
                </w:rPr>
                <w:t>Help</w:t>
              </w:r>
            </w:hyperlink>
            <w:r w:rsidRPr="00C1475A">
              <w:rPr>
                <w:rFonts w:ascii="Arial" w:eastAsia="Times New Roman" w:hAnsi="Arial" w:cs="Arial"/>
                <w:szCs w:val="24"/>
              </w:rPr>
              <w:t xml:space="preserve"> </w:t>
            </w:r>
          </w:p>
        </w:tc>
      </w:tr>
    </w:tbl>
    <w:p w14:paraId="7F5F0FD1" w14:textId="03480015" w:rsidR="00740D11" w:rsidRPr="00C1475A" w:rsidRDefault="00740D11" w:rsidP="00740D11">
      <w:pPr>
        <w:rPr>
          <w:rFonts w:ascii="Arial" w:eastAsia="MS Mincho" w:hAnsi="Arial" w:cs="Arial"/>
          <w:b/>
          <w:szCs w:val="24"/>
        </w:rPr>
      </w:pPr>
    </w:p>
    <w:sectPr w:rsidR="00740D11" w:rsidRPr="00C1475A" w:rsidSect="00E217E8">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F163" w14:textId="77777777" w:rsidR="006D57BF" w:rsidRDefault="006D57BF" w:rsidP="00E724F7">
      <w:r>
        <w:separator/>
      </w:r>
    </w:p>
  </w:endnote>
  <w:endnote w:type="continuationSeparator" w:id="0">
    <w:p w14:paraId="5050560F" w14:textId="77777777" w:rsidR="006D57BF" w:rsidRDefault="006D57BF" w:rsidP="00E724F7">
      <w:r>
        <w:continuationSeparator/>
      </w:r>
    </w:p>
  </w:endnote>
  <w:endnote w:type="continuationNotice" w:id="1">
    <w:p w14:paraId="34A7F165" w14:textId="77777777" w:rsidR="006D57BF" w:rsidRDefault="006D5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F181" w14:textId="77777777" w:rsidR="006D57BF" w:rsidRDefault="006D57BF" w:rsidP="00E724F7">
      <w:r>
        <w:separator/>
      </w:r>
    </w:p>
  </w:footnote>
  <w:footnote w:type="continuationSeparator" w:id="0">
    <w:p w14:paraId="2221AD89" w14:textId="77777777" w:rsidR="006D57BF" w:rsidRDefault="006D57BF" w:rsidP="00E724F7">
      <w:r>
        <w:continuationSeparator/>
      </w:r>
    </w:p>
  </w:footnote>
  <w:footnote w:type="continuationNotice" w:id="1">
    <w:p w14:paraId="2558D56B" w14:textId="77777777" w:rsidR="006D57BF" w:rsidRDefault="006D5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75C2066D"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E4B27"/>
    <w:multiLevelType w:val="multilevel"/>
    <w:tmpl w:val="DA882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57E3B"/>
    <w:multiLevelType w:val="hybridMultilevel"/>
    <w:tmpl w:val="BB8C60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8"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105E7"/>
    <w:multiLevelType w:val="hybridMultilevel"/>
    <w:tmpl w:val="7012DEFC"/>
    <w:lvl w:ilvl="0" w:tplc="922411F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117AD"/>
    <w:multiLevelType w:val="hybridMultilevel"/>
    <w:tmpl w:val="B5B8E5CA"/>
    <w:lvl w:ilvl="0" w:tplc="3806C4AA">
      <w:start w:val="1"/>
      <w:numFmt w:val="bullet"/>
      <w:pStyle w:val="TOC1"/>
      <w:lvlText w:val=""/>
      <w:lvlJc w:val="left"/>
      <w:pPr>
        <w:ind w:left="720" w:hanging="360"/>
      </w:pPr>
      <w:rPr>
        <w:rFonts w:ascii="Symbol" w:hAnsi="Symbol" w:hint="default"/>
      </w:rPr>
    </w:lvl>
    <w:lvl w:ilvl="1" w:tplc="653E7BC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60229"/>
    <w:multiLevelType w:val="hybridMultilevel"/>
    <w:tmpl w:val="7D5CA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16059"/>
    <w:multiLevelType w:val="hybridMultilevel"/>
    <w:tmpl w:val="89F29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9"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F7A6E"/>
    <w:multiLevelType w:val="hybridMultilevel"/>
    <w:tmpl w:val="1668DD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460C18"/>
    <w:multiLevelType w:val="hybridMultilevel"/>
    <w:tmpl w:val="2D86D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2052263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8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1712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601335">
    <w:abstractNumId w:val="18"/>
  </w:num>
  <w:num w:numId="5" w16cid:durableId="3818335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759623">
    <w:abstractNumId w:val="17"/>
  </w:num>
  <w:num w:numId="7" w16cid:durableId="2071076737">
    <w:abstractNumId w:val="23"/>
  </w:num>
  <w:num w:numId="8" w16cid:durableId="408817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8025">
    <w:abstractNumId w:val="7"/>
  </w:num>
  <w:num w:numId="10" w16cid:durableId="1273709628">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4124965">
    <w:abstractNumId w:val="32"/>
  </w:num>
  <w:num w:numId="12" w16cid:durableId="787090072">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120249859">
    <w:abstractNumId w:val="16"/>
  </w:num>
  <w:num w:numId="14" w16cid:durableId="1040327154">
    <w:abstractNumId w:val="8"/>
  </w:num>
  <w:num w:numId="15" w16cid:durableId="1508443688">
    <w:abstractNumId w:val="41"/>
  </w:num>
  <w:num w:numId="16" w16cid:durableId="1866286705">
    <w:abstractNumId w:val="1"/>
  </w:num>
  <w:num w:numId="17" w16cid:durableId="956258601">
    <w:abstractNumId w:val="37"/>
  </w:num>
  <w:num w:numId="18" w16cid:durableId="8393478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752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145307">
    <w:abstractNumId w:val="0"/>
  </w:num>
  <w:num w:numId="21" w16cid:durableId="761873126">
    <w:abstractNumId w:val="12"/>
  </w:num>
  <w:num w:numId="22" w16cid:durableId="220873505">
    <w:abstractNumId w:val="9"/>
  </w:num>
  <w:num w:numId="23" w16cid:durableId="1456022646">
    <w:abstractNumId w:val="27"/>
  </w:num>
  <w:num w:numId="24" w16cid:durableId="1345979568">
    <w:abstractNumId w:val="5"/>
  </w:num>
  <w:num w:numId="25" w16cid:durableId="360977411">
    <w:abstractNumId w:val="19"/>
  </w:num>
  <w:num w:numId="26" w16cid:durableId="1964073458">
    <w:abstractNumId w:val="34"/>
  </w:num>
  <w:num w:numId="27" w16cid:durableId="665399667">
    <w:abstractNumId w:val="2"/>
  </w:num>
  <w:num w:numId="28" w16cid:durableId="1135684567">
    <w:abstractNumId w:val="30"/>
  </w:num>
  <w:num w:numId="29" w16cid:durableId="1468430753">
    <w:abstractNumId w:val="26"/>
  </w:num>
  <w:num w:numId="30" w16cid:durableId="1495563491">
    <w:abstractNumId w:val="21"/>
  </w:num>
  <w:num w:numId="31" w16cid:durableId="1228956529">
    <w:abstractNumId w:val="4"/>
  </w:num>
  <w:num w:numId="32" w16cid:durableId="883710768">
    <w:abstractNumId w:val="38"/>
  </w:num>
  <w:num w:numId="33" w16cid:durableId="448549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565851">
    <w:abstractNumId w:val="14"/>
  </w:num>
  <w:num w:numId="35" w16cid:durableId="2828982">
    <w:abstractNumId w:val="28"/>
  </w:num>
  <w:num w:numId="36" w16cid:durableId="421687077">
    <w:abstractNumId w:val="44"/>
  </w:num>
  <w:num w:numId="37" w16cid:durableId="1636644373">
    <w:abstractNumId w:val="43"/>
  </w:num>
  <w:num w:numId="38" w16cid:durableId="1961374453">
    <w:abstractNumId w:val="29"/>
  </w:num>
  <w:num w:numId="39" w16cid:durableId="1544245339">
    <w:abstractNumId w:val="35"/>
  </w:num>
  <w:num w:numId="40" w16cid:durableId="1141535342">
    <w:abstractNumId w:val="20"/>
  </w:num>
  <w:num w:numId="41" w16cid:durableId="413164915">
    <w:abstractNumId w:val="10"/>
  </w:num>
  <w:num w:numId="42" w16cid:durableId="2140031839">
    <w:abstractNumId w:val="15"/>
  </w:num>
  <w:num w:numId="43" w16cid:durableId="127819983">
    <w:abstractNumId w:val="11"/>
  </w:num>
  <w:num w:numId="44" w16cid:durableId="497381627">
    <w:abstractNumId w:val="36"/>
  </w:num>
  <w:num w:numId="45" w16cid:durableId="1563523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3880057">
    <w:abstractNumId w:val="24"/>
  </w:num>
  <w:num w:numId="47" w16cid:durableId="2066753988">
    <w:abstractNumId w:val="6"/>
  </w:num>
  <w:num w:numId="48" w16cid:durableId="526479788">
    <w:abstractNumId w:val="33"/>
  </w:num>
  <w:num w:numId="49" w16cid:durableId="894239725">
    <w:abstractNumId w:val="3"/>
  </w:num>
  <w:num w:numId="50" w16cid:durableId="1821921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3819"/>
    <w:rsid w:val="00010565"/>
    <w:rsid w:val="000112A7"/>
    <w:rsid w:val="00011D16"/>
    <w:rsid w:val="0001456D"/>
    <w:rsid w:val="00014A66"/>
    <w:rsid w:val="000220E1"/>
    <w:rsid w:val="0002519C"/>
    <w:rsid w:val="00026721"/>
    <w:rsid w:val="00027DF5"/>
    <w:rsid w:val="00031481"/>
    <w:rsid w:val="00034672"/>
    <w:rsid w:val="00036CEF"/>
    <w:rsid w:val="000375E8"/>
    <w:rsid w:val="0003786A"/>
    <w:rsid w:val="00041118"/>
    <w:rsid w:val="00041F02"/>
    <w:rsid w:val="00042F9C"/>
    <w:rsid w:val="000431CA"/>
    <w:rsid w:val="000452B8"/>
    <w:rsid w:val="0005226D"/>
    <w:rsid w:val="000530A7"/>
    <w:rsid w:val="000553FE"/>
    <w:rsid w:val="000579E7"/>
    <w:rsid w:val="00061FC2"/>
    <w:rsid w:val="00064BEA"/>
    <w:rsid w:val="00071985"/>
    <w:rsid w:val="000747AE"/>
    <w:rsid w:val="00074C29"/>
    <w:rsid w:val="00074C2C"/>
    <w:rsid w:val="00082F31"/>
    <w:rsid w:val="00082FD5"/>
    <w:rsid w:val="00096BE1"/>
    <w:rsid w:val="00096F9D"/>
    <w:rsid w:val="000A686F"/>
    <w:rsid w:val="000B00A2"/>
    <w:rsid w:val="000B1F4F"/>
    <w:rsid w:val="000B4EE6"/>
    <w:rsid w:val="000B5A6A"/>
    <w:rsid w:val="000B7B24"/>
    <w:rsid w:val="000B7CBB"/>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2BAD"/>
    <w:rsid w:val="000F55F6"/>
    <w:rsid w:val="000F593D"/>
    <w:rsid w:val="000F6E87"/>
    <w:rsid w:val="000F7D2E"/>
    <w:rsid w:val="001007E7"/>
    <w:rsid w:val="001010D0"/>
    <w:rsid w:val="00102E21"/>
    <w:rsid w:val="00102EA3"/>
    <w:rsid w:val="00103273"/>
    <w:rsid w:val="00114E43"/>
    <w:rsid w:val="00115858"/>
    <w:rsid w:val="001166D4"/>
    <w:rsid w:val="00117426"/>
    <w:rsid w:val="001234C0"/>
    <w:rsid w:val="00125568"/>
    <w:rsid w:val="001319C8"/>
    <w:rsid w:val="00136D47"/>
    <w:rsid w:val="00136D4E"/>
    <w:rsid w:val="001372A5"/>
    <w:rsid w:val="00140FD8"/>
    <w:rsid w:val="00144F98"/>
    <w:rsid w:val="00151F3B"/>
    <w:rsid w:val="0015202C"/>
    <w:rsid w:val="0015490F"/>
    <w:rsid w:val="00154C45"/>
    <w:rsid w:val="001551B9"/>
    <w:rsid w:val="001658FA"/>
    <w:rsid w:val="00167964"/>
    <w:rsid w:val="001703D1"/>
    <w:rsid w:val="001748B2"/>
    <w:rsid w:val="001748C6"/>
    <w:rsid w:val="00174F7A"/>
    <w:rsid w:val="001769F7"/>
    <w:rsid w:val="00176BBA"/>
    <w:rsid w:val="0019457B"/>
    <w:rsid w:val="00194B8C"/>
    <w:rsid w:val="001A06DA"/>
    <w:rsid w:val="001A286F"/>
    <w:rsid w:val="001A50AE"/>
    <w:rsid w:val="001A5994"/>
    <w:rsid w:val="001A64CB"/>
    <w:rsid w:val="001B1502"/>
    <w:rsid w:val="001B4E70"/>
    <w:rsid w:val="001B72D4"/>
    <w:rsid w:val="001C3886"/>
    <w:rsid w:val="001D230E"/>
    <w:rsid w:val="001D2514"/>
    <w:rsid w:val="001D28DD"/>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2454C"/>
    <w:rsid w:val="00231312"/>
    <w:rsid w:val="002315E4"/>
    <w:rsid w:val="00233DA8"/>
    <w:rsid w:val="00234B3A"/>
    <w:rsid w:val="002403A0"/>
    <w:rsid w:val="00241BAB"/>
    <w:rsid w:val="002424C2"/>
    <w:rsid w:val="00245A9D"/>
    <w:rsid w:val="00250450"/>
    <w:rsid w:val="002512E3"/>
    <w:rsid w:val="00252904"/>
    <w:rsid w:val="002533F5"/>
    <w:rsid w:val="00254E17"/>
    <w:rsid w:val="00260EF8"/>
    <w:rsid w:val="00263FA4"/>
    <w:rsid w:val="00266332"/>
    <w:rsid w:val="00275348"/>
    <w:rsid w:val="00276FA2"/>
    <w:rsid w:val="002811AB"/>
    <w:rsid w:val="00283571"/>
    <w:rsid w:val="00291BF9"/>
    <w:rsid w:val="00296468"/>
    <w:rsid w:val="002A43CF"/>
    <w:rsid w:val="002B4178"/>
    <w:rsid w:val="002C1693"/>
    <w:rsid w:val="002C1CC2"/>
    <w:rsid w:val="002C450B"/>
    <w:rsid w:val="002C5CD3"/>
    <w:rsid w:val="002C6D9D"/>
    <w:rsid w:val="002E36C5"/>
    <w:rsid w:val="0030081A"/>
    <w:rsid w:val="003016E1"/>
    <w:rsid w:val="00302486"/>
    <w:rsid w:val="00303BBC"/>
    <w:rsid w:val="00305369"/>
    <w:rsid w:val="00313008"/>
    <w:rsid w:val="00320AFA"/>
    <w:rsid w:val="00323263"/>
    <w:rsid w:val="003375F7"/>
    <w:rsid w:val="00342F09"/>
    <w:rsid w:val="0034362D"/>
    <w:rsid w:val="00345602"/>
    <w:rsid w:val="003514F7"/>
    <w:rsid w:val="00352F9A"/>
    <w:rsid w:val="00357B44"/>
    <w:rsid w:val="00361A15"/>
    <w:rsid w:val="00367065"/>
    <w:rsid w:val="00367AC1"/>
    <w:rsid w:val="00370139"/>
    <w:rsid w:val="00370EA2"/>
    <w:rsid w:val="00380A0E"/>
    <w:rsid w:val="00384D4B"/>
    <w:rsid w:val="003850CD"/>
    <w:rsid w:val="00385613"/>
    <w:rsid w:val="00385E62"/>
    <w:rsid w:val="00392115"/>
    <w:rsid w:val="00396DB3"/>
    <w:rsid w:val="003976E9"/>
    <w:rsid w:val="003A0DC8"/>
    <w:rsid w:val="003A14CD"/>
    <w:rsid w:val="003A518E"/>
    <w:rsid w:val="003A7686"/>
    <w:rsid w:val="003B0B4E"/>
    <w:rsid w:val="003B1D3F"/>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5642"/>
    <w:rsid w:val="004165AD"/>
    <w:rsid w:val="00420C01"/>
    <w:rsid w:val="0042314C"/>
    <w:rsid w:val="00423F99"/>
    <w:rsid w:val="00427390"/>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A6F18"/>
    <w:rsid w:val="004B0E37"/>
    <w:rsid w:val="004B1439"/>
    <w:rsid w:val="004B1446"/>
    <w:rsid w:val="004B182F"/>
    <w:rsid w:val="004B1C9D"/>
    <w:rsid w:val="004B316D"/>
    <w:rsid w:val="004B62C4"/>
    <w:rsid w:val="004C195C"/>
    <w:rsid w:val="004D68AA"/>
    <w:rsid w:val="004D6BFF"/>
    <w:rsid w:val="004E35EC"/>
    <w:rsid w:val="004E46F8"/>
    <w:rsid w:val="004E64BA"/>
    <w:rsid w:val="004E6BBE"/>
    <w:rsid w:val="004F5ECC"/>
    <w:rsid w:val="00500157"/>
    <w:rsid w:val="00506220"/>
    <w:rsid w:val="0050749B"/>
    <w:rsid w:val="00507D4A"/>
    <w:rsid w:val="00512271"/>
    <w:rsid w:val="00514249"/>
    <w:rsid w:val="00520297"/>
    <w:rsid w:val="0052057F"/>
    <w:rsid w:val="0052394E"/>
    <w:rsid w:val="0052470D"/>
    <w:rsid w:val="00527CA3"/>
    <w:rsid w:val="00530DFD"/>
    <w:rsid w:val="00532341"/>
    <w:rsid w:val="0053493B"/>
    <w:rsid w:val="00536EA6"/>
    <w:rsid w:val="00537E8B"/>
    <w:rsid w:val="00540251"/>
    <w:rsid w:val="0054270C"/>
    <w:rsid w:val="00543FEC"/>
    <w:rsid w:val="005456D4"/>
    <w:rsid w:val="00546640"/>
    <w:rsid w:val="005504CA"/>
    <w:rsid w:val="00553043"/>
    <w:rsid w:val="0055355A"/>
    <w:rsid w:val="0055444D"/>
    <w:rsid w:val="0056265C"/>
    <w:rsid w:val="005626F6"/>
    <w:rsid w:val="00563A11"/>
    <w:rsid w:val="0057025A"/>
    <w:rsid w:val="0057105F"/>
    <w:rsid w:val="0057310A"/>
    <w:rsid w:val="00593E55"/>
    <w:rsid w:val="005968CA"/>
    <w:rsid w:val="005A0D50"/>
    <w:rsid w:val="005A208E"/>
    <w:rsid w:val="005A35F5"/>
    <w:rsid w:val="005A5C2E"/>
    <w:rsid w:val="005B39A1"/>
    <w:rsid w:val="005B56FD"/>
    <w:rsid w:val="005C0D72"/>
    <w:rsid w:val="005C1E0A"/>
    <w:rsid w:val="005C3423"/>
    <w:rsid w:val="005D223B"/>
    <w:rsid w:val="005D370A"/>
    <w:rsid w:val="005D39DB"/>
    <w:rsid w:val="005D5C09"/>
    <w:rsid w:val="005D6571"/>
    <w:rsid w:val="005D6E90"/>
    <w:rsid w:val="005D70F3"/>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0CC6"/>
    <w:rsid w:val="00623A5A"/>
    <w:rsid w:val="00625406"/>
    <w:rsid w:val="00626403"/>
    <w:rsid w:val="00626DAB"/>
    <w:rsid w:val="00632205"/>
    <w:rsid w:val="006338EA"/>
    <w:rsid w:val="006373B1"/>
    <w:rsid w:val="006433CA"/>
    <w:rsid w:val="006444AC"/>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2BB"/>
    <w:rsid w:val="00676689"/>
    <w:rsid w:val="00680B5C"/>
    <w:rsid w:val="00681FAC"/>
    <w:rsid w:val="00682105"/>
    <w:rsid w:val="006909A3"/>
    <w:rsid w:val="00696BE5"/>
    <w:rsid w:val="00696CFA"/>
    <w:rsid w:val="0069739B"/>
    <w:rsid w:val="006A2DCD"/>
    <w:rsid w:val="006A4F7E"/>
    <w:rsid w:val="006A5A1E"/>
    <w:rsid w:val="006B0D96"/>
    <w:rsid w:val="006B5DA3"/>
    <w:rsid w:val="006C3AD6"/>
    <w:rsid w:val="006C7F7B"/>
    <w:rsid w:val="006D0A86"/>
    <w:rsid w:val="006D57BF"/>
    <w:rsid w:val="006D7D46"/>
    <w:rsid w:val="006E2BD9"/>
    <w:rsid w:val="006E3544"/>
    <w:rsid w:val="006E63FB"/>
    <w:rsid w:val="006F547F"/>
    <w:rsid w:val="006F5762"/>
    <w:rsid w:val="007011EC"/>
    <w:rsid w:val="00701E9E"/>
    <w:rsid w:val="00702CE9"/>
    <w:rsid w:val="007035E0"/>
    <w:rsid w:val="007054B4"/>
    <w:rsid w:val="007071E2"/>
    <w:rsid w:val="0071116B"/>
    <w:rsid w:val="00711FBB"/>
    <w:rsid w:val="00712EA6"/>
    <w:rsid w:val="00713F6A"/>
    <w:rsid w:val="00717140"/>
    <w:rsid w:val="00720B5D"/>
    <w:rsid w:val="007225F5"/>
    <w:rsid w:val="00723EA8"/>
    <w:rsid w:val="0073185B"/>
    <w:rsid w:val="0073355B"/>
    <w:rsid w:val="00735D4D"/>
    <w:rsid w:val="00740D11"/>
    <w:rsid w:val="00743451"/>
    <w:rsid w:val="00743DDB"/>
    <w:rsid w:val="00745900"/>
    <w:rsid w:val="00750ECD"/>
    <w:rsid w:val="00751AF4"/>
    <w:rsid w:val="0075254C"/>
    <w:rsid w:val="00752552"/>
    <w:rsid w:val="00754B66"/>
    <w:rsid w:val="00756969"/>
    <w:rsid w:val="007629CB"/>
    <w:rsid w:val="00762B2A"/>
    <w:rsid w:val="007633CA"/>
    <w:rsid w:val="00764CF0"/>
    <w:rsid w:val="00765853"/>
    <w:rsid w:val="007670CF"/>
    <w:rsid w:val="00771538"/>
    <w:rsid w:val="007865C2"/>
    <w:rsid w:val="0078774A"/>
    <w:rsid w:val="0079016E"/>
    <w:rsid w:val="007971B8"/>
    <w:rsid w:val="007A48DA"/>
    <w:rsid w:val="007A6AF1"/>
    <w:rsid w:val="007A7AD2"/>
    <w:rsid w:val="007B1CB9"/>
    <w:rsid w:val="007B5246"/>
    <w:rsid w:val="007B680A"/>
    <w:rsid w:val="007C41B9"/>
    <w:rsid w:val="007C570C"/>
    <w:rsid w:val="007C78C0"/>
    <w:rsid w:val="007D0FA3"/>
    <w:rsid w:val="007D1CB6"/>
    <w:rsid w:val="007D22CD"/>
    <w:rsid w:val="007D54CE"/>
    <w:rsid w:val="007D55E6"/>
    <w:rsid w:val="007E02EB"/>
    <w:rsid w:val="007E03EA"/>
    <w:rsid w:val="007E348B"/>
    <w:rsid w:val="007E4EA9"/>
    <w:rsid w:val="007F069A"/>
    <w:rsid w:val="007F1DFA"/>
    <w:rsid w:val="007F1E81"/>
    <w:rsid w:val="007F584C"/>
    <w:rsid w:val="008020BB"/>
    <w:rsid w:val="008036DA"/>
    <w:rsid w:val="00803C36"/>
    <w:rsid w:val="00804AF0"/>
    <w:rsid w:val="008052FE"/>
    <w:rsid w:val="008060EC"/>
    <w:rsid w:val="00806994"/>
    <w:rsid w:val="00807374"/>
    <w:rsid w:val="008129A3"/>
    <w:rsid w:val="008132F8"/>
    <w:rsid w:val="008140B8"/>
    <w:rsid w:val="008144D7"/>
    <w:rsid w:val="00820B0D"/>
    <w:rsid w:val="00823286"/>
    <w:rsid w:val="0082548B"/>
    <w:rsid w:val="008345F6"/>
    <w:rsid w:val="00834693"/>
    <w:rsid w:val="0084300D"/>
    <w:rsid w:val="0084544A"/>
    <w:rsid w:val="00846B2F"/>
    <w:rsid w:val="00850C00"/>
    <w:rsid w:val="00851100"/>
    <w:rsid w:val="008515E7"/>
    <w:rsid w:val="008516E7"/>
    <w:rsid w:val="00856481"/>
    <w:rsid w:val="00862CE3"/>
    <w:rsid w:val="00863472"/>
    <w:rsid w:val="008636A0"/>
    <w:rsid w:val="008643CB"/>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11D4"/>
    <w:rsid w:val="008D40DE"/>
    <w:rsid w:val="008D4966"/>
    <w:rsid w:val="008D6545"/>
    <w:rsid w:val="008D7B74"/>
    <w:rsid w:val="008E29C9"/>
    <w:rsid w:val="008E6F7E"/>
    <w:rsid w:val="008E7CC5"/>
    <w:rsid w:val="008F1D31"/>
    <w:rsid w:val="008F2D90"/>
    <w:rsid w:val="008F4A71"/>
    <w:rsid w:val="008F501F"/>
    <w:rsid w:val="008F66AB"/>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90150"/>
    <w:rsid w:val="009924BF"/>
    <w:rsid w:val="00995A44"/>
    <w:rsid w:val="009979FA"/>
    <w:rsid w:val="00997C33"/>
    <w:rsid w:val="009A6D83"/>
    <w:rsid w:val="009B3394"/>
    <w:rsid w:val="009C10DF"/>
    <w:rsid w:val="009C3410"/>
    <w:rsid w:val="009C39B6"/>
    <w:rsid w:val="009C5760"/>
    <w:rsid w:val="009D0FB7"/>
    <w:rsid w:val="009D1AD1"/>
    <w:rsid w:val="009D258A"/>
    <w:rsid w:val="009D6D5F"/>
    <w:rsid w:val="009E7AD6"/>
    <w:rsid w:val="009F4D59"/>
    <w:rsid w:val="00A01E02"/>
    <w:rsid w:val="00A10FC0"/>
    <w:rsid w:val="00A22AD1"/>
    <w:rsid w:val="00A25626"/>
    <w:rsid w:val="00A25B2E"/>
    <w:rsid w:val="00A26731"/>
    <w:rsid w:val="00A30FDD"/>
    <w:rsid w:val="00A332DE"/>
    <w:rsid w:val="00A33C6C"/>
    <w:rsid w:val="00A36B64"/>
    <w:rsid w:val="00A37D94"/>
    <w:rsid w:val="00A461EB"/>
    <w:rsid w:val="00A52975"/>
    <w:rsid w:val="00A537F4"/>
    <w:rsid w:val="00A56EDC"/>
    <w:rsid w:val="00A66B15"/>
    <w:rsid w:val="00A713BC"/>
    <w:rsid w:val="00A76D42"/>
    <w:rsid w:val="00A77F96"/>
    <w:rsid w:val="00AA0603"/>
    <w:rsid w:val="00AA2770"/>
    <w:rsid w:val="00AA2E09"/>
    <w:rsid w:val="00AA705E"/>
    <w:rsid w:val="00AC2FE1"/>
    <w:rsid w:val="00AD0292"/>
    <w:rsid w:val="00AD43A5"/>
    <w:rsid w:val="00AD48A4"/>
    <w:rsid w:val="00AD4BD9"/>
    <w:rsid w:val="00AD4FFD"/>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98D"/>
    <w:rsid w:val="00B31B3A"/>
    <w:rsid w:val="00B34BA7"/>
    <w:rsid w:val="00B35DFB"/>
    <w:rsid w:val="00B45ACE"/>
    <w:rsid w:val="00B51EAE"/>
    <w:rsid w:val="00B61253"/>
    <w:rsid w:val="00B62E6A"/>
    <w:rsid w:val="00B66D4E"/>
    <w:rsid w:val="00B713C0"/>
    <w:rsid w:val="00B7164F"/>
    <w:rsid w:val="00B75A8D"/>
    <w:rsid w:val="00B82D2D"/>
    <w:rsid w:val="00B836C7"/>
    <w:rsid w:val="00B840A2"/>
    <w:rsid w:val="00B85220"/>
    <w:rsid w:val="00B95455"/>
    <w:rsid w:val="00B962A5"/>
    <w:rsid w:val="00BA0435"/>
    <w:rsid w:val="00BB1493"/>
    <w:rsid w:val="00BB53D7"/>
    <w:rsid w:val="00BC1742"/>
    <w:rsid w:val="00BC1861"/>
    <w:rsid w:val="00BC1ED8"/>
    <w:rsid w:val="00BC39FA"/>
    <w:rsid w:val="00BC546A"/>
    <w:rsid w:val="00BC70D6"/>
    <w:rsid w:val="00BC7604"/>
    <w:rsid w:val="00BD0D2E"/>
    <w:rsid w:val="00BD2669"/>
    <w:rsid w:val="00BD7A55"/>
    <w:rsid w:val="00BE2F56"/>
    <w:rsid w:val="00BE3320"/>
    <w:rsid w:val="00BE37B1"/>
    <w:rsid w:val="00BE3854"/>
    <w:rsid w:val="00BE5ACC"/>
    <w:rsid w:val="00BF0444"/>
    <w:rsid w:val="00BF16FF"/>
    <w:rsid w:val="00BF2CFC"/>
    <w:rsid w:val="00BF51C8"/>
    <w:rsid w:val="00BF58F3"/>
    <w:rsid w:val="00C01E84"/>
    <w:rsid w:val="00C02DF1"/>
    <w:rsid w:val="00C115E0"/>
    <w:rsid w:val="00C12924"/>
    <w:rsid w:val="00C13032"/>
    <w:rsid w:val="00C1475A"/>
    <w:rsid w:val="00C1601F"/>
    <w:rsid w:val="00C17185"/>
    <w:rsid w:val="00C21F3E"/>
    <w:rsid w:val="00C32066"/>
    <w:rsid w:val="00C34DE9"/>
    <w:rsid w:val="00C34E86"/>
    <w:rsid w:val="00C34FB7"/>
    <w:rsid w:val="00C35C95"/>
    <w:rsid w:val="00C419A8"/>
    <w:rsid w:val="00C51267"/>
    <w:rsid w:val="00C539CD"/>
    <w:rsid w:val="00C55261"/>
    <w:rsid w:val="00C56C58"/>
    <w:rsid w:val="00C56E9D"/>
    <w:rsid w:val="00C602B9"/>
    <w:rsid w:val="00C62E34"/>
    <w:rsid w:val="00C64579"/>
    <w:rsid w:val="00C64758"/>
    <w:rsid w:val="00C65673"/>
    <w:rsid w:val="00C6586B"/>
    <w:rsid w:val="00C7137B"/>
    <w:rsid w:val="00C73CFC"/>
    <w:rsid w:val="00C759E1"/>
    <w:rsid w:val="00C81877"/>
    <w:rsid w:val="00C835D5"/>
    <w:rsid w:val="00C84D08"/>
    <w:rsid w:val="00C857F3"/>
    <w:rsid w:val="00C919C5"/>
    <w:rsid w:val="00C94EB3"/>
    <w:rsid w:val="00C96CE0"/>
    <w:rsid w:val="00CA07E0"/>
    <w:rsid w:val="00CA09BE"/>
    <w:rsid w:val="00CA546A"/>
    <w:rsid w:val="00CB59F4"/>
    <w:rsid w:val="00CB59F5"/>
    <w:rsid w:val="00CC1634"/>
    <w:rsid w:val="00CC1B05"/>
    <w:rsid w:val="00CC4B57"/>
    <w:rsid w:val="00CC6B53"/>
    <w:rsid w:val="00CD3061"/>
    <w:rsid w:val="00CD5E1F"/>
    <w:rsid w:val="00CD6874"/>
    <w:rsid w:val="00CE3666"/>
    <w:rsid w:val="00CE5710"/>
    <w:rsid w:val="00CE5846"/>
    <w:rsid w:val="00CE75ED"/>
    <w:rsid w:val="00CF04B2"/>
    <w:rsid w:val="00CF070D"/>
    <w:rsid w:val="00CF1D63"/>
    <w:rsid w:val="00CF2541"/>
    <w:rsid w:val="00CF3CA7"/>
    <w:rsid w:val="00D027F2"/>
    <w:rsid w:val="00D0463E"/>
    <w:rsid w:val="00D06893"/>
    <w:rsid w:val="00D13A21"/>
    <w:rsid w:val="00D15458"/>
    <w:rsid w:val="00D15893"/>
    <w:rsid w:val="00D16B03"/>
    <w:rsid w:val="00D16B29"/>
    <w:rsid w:val="00D16BAE"/>
    <w:rsid w:val="00D22E0C"/>
    <w:rsid w:val="00D22E2E"/>
    <w:rsid w:val="00D36FAA"/>
    <w:rsid w:val="00D37106"/>
    <w:rsid w:val="00D37F4F"/>
    <w:rsid w:val="00D411ED"/>
    <w:rsid w:val="00D413C4"/>
    <w:rsid w:val="00D42FFF"/>
    <w:rsid w:val="00D50CB8"/>
    <w:rsid w:val="00D5116C"/>
    <w:rsid w:val="00D52A61"/>
    <w:rsid w:val="00D55967"/>
    <w:rsid w:val="00D57F37"/>
    <w:rsid w:val="00D61A9F"/>
    <w:rsid w:val="00D62356"/>
    <w:rsid w:val="00D6541E"/>
    <w:rsid w:val="00D71BD4"/>
    <w:rsid w:val="00D72348"/>
    <w:rsid w:val="00D72DA8"/>
    <w:rsid w:val="00D72FBA"/>
    <w:rsid w:val="00D822D0"/>
    <w:rsid w:val="00D84FD4"/>
    <w:rsid w:val="00D85732"/>
    <w:rsid w:val="00D914EA"/>
    <w:rsid w:val="00D94614"/>
    <w:rsid w:val="00D95B5F"/>
    <w:rsid w:val="00DA0410"/>
    <w:rsid w:val="00DA1056"/>
    <w:rsid w:val="00DA2126"/>
    <w:rsid w:val="00DA2230"/>
    <w:rsid w:val="00DA31D4"/>
    <w:rsid w:val="00DA5A5A"/>
    <w:rsid w:val="00DA72F3"/>
    <w:rsid w:val="00DB593B"/>
    <w:rsid w:val="00DC0C97"/>
    <w:rsid w:val="00DC53D5"/>
    <w:rsid w:val="00DC6BD6"/>
    <w:rsid w:val="00DD138A"/>
    <w:rsid w:val="00DD42D7"/>
    <w:rsid w:val="00DD6A76"/>
    <w:rsid w:val="00DE08B4"/>
    <w:rsid w:val="00DE5952"/>
    <w:rsid w:val="00DF0114"/>
    <w:rsid w:val="00DF0DFA"/>
    <w:rsid w:val="00DF13D9"/>
    <w:rsid w:val="00DF1937"/>
    <w:rsid w:val="00DF25BF"/>
    <w:rsid w:val="00DF6AC9"/>
    <w:rsid w:val="00DF7B47"/>
    <w:rsid w:val="00E03189"/>
    <w:rsid w:val="00E101B9"/>
    <w:rsid w:val="00E115E8"/>
    <w:rsid w:val="00E13583"/>
    <w:rsid w:val="00E217E8"/>
    <w:rsid w:val="00E23EAD"/>
    <w:rsid w:val="00E24238"/>
    <w:rsid w:val="00E265F1"/>
    <w:rsid w:val="00E26A71"/>
    <w:rsid w:val="00E33DB6"/>
    <w:rsid w:val="00E40451"/>
    <w:rsid w:val="00E426DA"/>
    <w:rsid w:val="00E43543"/>
    <w:rsid w:val="00E5158B"/>
    <w:rsid w:val="00E52379"/>
    <w:rsid w:val="00E55131"/>
    <w:rsid w:val="00E56473"/>
    <w:rsid w:val="00E5678B"/>
    <w:rsid w:val="00E619E9"/>
    <w:rsid w:val="00E6326F"/>
    <w:rsid w:val="00E66073"/>
    <w:rsid w:val="00E675A0"/>
    <w:rsid w:val="00E70DA9"/>
    <w:rsid w:val="00E724F7"/>
    <w:rsid w:val="00E7390B"/>
    <w:rsid w:val="00E75A3F"/>
    <w:rsid w:val="00E77B9C"/>
    <w:rsid w:val="00E815B3"/>
    <w:rsid w:val="00E8206B"/>
    <w:rsid w:val="00E82918"/>
    <w:rsid w:val="00E91ED5"/>
    <w:rsid w:val="00E933A0"/>
    <w:rsid w:val="00E95B28"/>
    <w:rsid w:val="00E9699C"/>
    <w:rsid w:val="00EA7708"/>
    <w:rsid w:val="00EB5431"/>
    <w:rsid w:val="00EB6A53"/>
    <w:rsid w:val="00EB6B2A"/>
    <w:rsid w:val="00EC2BF5"/>
    <w:rsid w:val="00EC2C20"/>
    <w:rsid w:val="00EC3328"/>
    <w:rsid w:val="00EC3F20"/>
    <w:rsid w:val="00EC66B3"/>
    <w:rsid w:val="00EC7192"/>
    <w:rsid w:val="00ED73B3"/>
    <w:rsid w:val="00EE1ADD"/>
    <w:rsid w:val="00EE201B"/>
    <w:rsid w:val="00EE2194"/>
    <w:rsid w:val="00EE5159"/>
    <w:rsid w:val="00EE6E3B"/>
    <w:rsid w:val="00EF0134"/>
    <w:rsid w:val="00F01A93"/>
    <w:rsid w:val="00F01E9B"/>
    <w:rsid w:val="00F0328A"/>
    <w:rsid w:val="00F03E9E"/>
    <w:rsid w:val="00F137A5"/>
    <w:rsid w:val="00F14266"/>
    <w:rsid w:val="00F1564F"/>
    <w:rsid w:val="00F159E6"/>
    <w:rsid w:val="00F15A25"/>
    <w:rsid w:val="00F21965"/>
    <w:rsid w:val="00F21C16"/>
    <w:rsid w:val="00F25F13"/>
    <w:rsid w:val="00F30127"/>
    <w:rsid w:val="00F43BCF"/>
    <w:rsid w:val="00F53673"/>
    <w:rsid w:val="00F603BF"/>
    <w:rsid w:val="00F64758"/>
    <w:rsid w:val="00F649F0"/>
    <w:rsid w:val="00F65977"/>
    <w:rsid w:val="00F66FF8"/>
    <w:rsid w:val="00F72754"/>
    <w:rsid w:val="00F728BA"/>
    <w:rsid w:val="00F72BF6"/>
    <w:rsid w:val="00F733E7"/>
    <w:rsid w:val="00F76151"/>
    <w:rsid w:val="00F772F3"/>
    <w:rsid w:val="00F820EB"/>
    <w:rsid w:val="00F83D4D"/>
    <w:rsid w:val="00FA014D"/>
    <w:rsid w:val="00FA59C6"/>
    <w:rsid w:val="00FB21E7"/>
    <w:rsid w:val="00FB5F9A"/>
    <w:rsid w:val="00FB6476"/>
    <w:rsid w:val="00FC691D"/>
    <w:rsid w:val="00FD329E"/>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0B4EE6"/>
    <w:pPr>
      <w:numPr>
        <w:numId w:val="43"/>
      </w:numPr>
      <w:tabs>
        <w:tab w:val="right" w:leader="dot" w:pos="9350"/>
      </w:tabs>
    </w:pPr>
  </w:style>
  <w:style w:type="paragraph" w:styleId="TOC2">
    <w:name w:val="toc 2"/>
    <w:basedOn w:val="Normal"/>
    <w:next w:val="Normal"/>
    <w:autoRedefine/>
    <w:uiPriority w:val="39"/>
    <w:unhideWhenUsed/>
    <w:rsid w:val="000B4EE6"/>
    <w:pPr>
      <w:tabs>
        <w:tab w:val="right" w:leader="dot" w:pos="9350"/>
      </w:tabs>
      <w:ind w:left="11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E675A0"/>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customStyle="1" w:styleId="xmsonormal">
    <w:name w:val="x_msonormal"/>
    <w:basedOn w:val="Normal"/>
    <w:rsid w:val="007E03EA"/>
    <w:rPr>
      <w:rFonts w:ascii="Calibri" w:eastAsiaTheme="minorHAnsi" w:hAnsi="Calibri" w:cs="Calibri"/>
      <w:sz w:val="22"/>
    </w:rPr>
  </w:style>
  <w:style w:type="character" w:customStyle="1" w:styleId="xcontentpasted2">
    <w:name w:val="x_contentpasted2"/>
    <w:basedOn w:val="DefaultParagraphFont"/>
    <w:rsid w:val="007E03EA"/>
  </w:style>
  <w:style w:type="character" w:customStyle="1" w:styleId="xcontentpasted1">
    <w:name w:val="x_contentpasted1"/>
    <w:basedOn w:val="DefaultParagraphFont"/>
    <w:rsid w:val="007E03EA"/>
  </w:style>
  <w:style w:type="character" w:styleId="Strong">
    <w:name w:val="Strong"/>
    <w:basedOn w:val="DefaultParagraphFont"/>
    <w:uiPriority w:val="22"/>
    <w:qFormat/>
    <w:rsid w:val="00E5158B"/>
    <w:rPr>
      <w:b/>
      <w:bCs/>
    </w:rPr>
  </w:style>
  <w:style w:type="paragraph" w:styleId="Revision">
    <w:name w:val="Revision"/>
    <w:hidden/>
    <w:uiPriority w:val="99"/>
    <w:semiHidden/>
    <w:rsid w:val="00E9699C"/>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3116717">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79543144">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35457723">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17246676">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1207483">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4307246">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2285267">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tar.gov/buildings/benchmark/portfolio_manager_login" TargetMode="External"/><Relationship Id="rId18"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6"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3" Type="http://schemas.openxmlformats.org/officeDocument/2006/relationships/customXml" Target="../customXml/item3.xml"/><Relationship Id="rId21"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7" Type="http://schemas.openxmlformats.org/officeDocument/2006/relationships/settings" Target="settings.xml"/><Relationship Id="rId12" Type="http://schemas.openxmlformats.org/officeDocument/2006/relationships/hyperlink" Target="https://lnks.gd/l/eyJhbGciOiJIUzI1NiJ9.eyJidWxsZXRpbl9saW5rX2lkIjoxMDIsInVyaSI6ImJwMjpjbGljayIsInVybCI6Imh0dHBzOi8vd3d3Lmh1ZC5nb3YvcHJvZ3JhbV9vZmZpY2VzL2FkbWluaXN0cmF0aW9uL2h1ZGNsaXBzL25vdGljZXMvaHNnP3V0bV9tZWRpdW09ZW1haWwmdXRtX3NvdXJjZT1nb3ZkZWxpdmVyeSIsImJ1bGxldGluX2lkIjoiMjAyMzExMjcuODYyMDgwMDEifQ._yk5DWBmrdGtxBgVgGub2hfUYJrnVqg8ev4cGT7wCAw/s/1356290806/br/231625738490-l" TargetMode="External"/><Relationship Id="rId17" Type="http://schemas.openxmlformats.org/officeDocument/2006/relationships/hyperlink" Target="https://www.hud.gov/sites/documents/16-02CPDN.PDF" TargetMode="External"/><Relationship Id="rId25"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2" Type="http://schemas.openxmlformats.org/officeDocument/2006/relationships/customXml" Target="../customXml/item2.xml"/><Relationship Id="rId16" Type="http://schemas.openxmlformats.org/officeDocument/2006/relationships/hyperlink" Target="https://lnks.gd/l/eyJhbGciOiJIUzI1NiJ9.eyJidWxsZXRpbl9saW5rX2lkIjoxMDIsInVyaSI6ImJwMjpjbGljayIsInVybCI6Imh0dHBzOi8vd3d3LmZlZGVyYWxyZWdpc3Rlci5nb3YvZG9jdW1lbnRzLzIwMjMvMDgvMjMvMjAyMy0xNzIyMS91cGRhdGluZy10aGUtZGF2aXMtYmFjb24tYW5kLXJlbGF0ZWQtYWN0cy1yZWd1bGF0aW9ucz91dG1fbWVkaXVtPWVtYWlsJnV0bV9zb3VyY2U9Z292ZGVsaXZlcnkiLCJidWxsZXRpbl9pZCI6IjIwMjMxMDIzLjg0NDkxMDExIn0.Bc6os-nbK239OJ8R7FEL1KuQ8lE2olNF5NZIz4bTggM/s/1356290806/br/228790860904-l" TargetMode="External"/><Relationship Id="rId20"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lnks.gd/l/eyJhbGciOiJIUzI1NiJ9.eyJidWxsZXRpbl9saW5rX2lkIjoxMDEsInVyaSI6ImJwMjpjbGljayIsInVybCI6Imh0dHBzOi8vd3d3LmZlZGVyYWxyZWdpc3Rlci5nb3YvZG9jdW1lbnRzLzIwMjMvMDgvMjMvMjAyMy0xNzIyMS91cGRhdGluZy10aGUtZGF2aXMtYmFjb24tYW5kLXJlbGF0ZWQtYWN0cy1yZWd1bGF0aW9ucz91dG1fbWVkaXVtPWVtYWlsJnV0bV9zb3VyY2U9Z292ZGVsaXZlcnkiLCJidWxsZXRpbl9pZCI6IjIwMjMxMDIzLjg0NDkxMDExIn0.nyldlIHprO49tyYPEAt2bNOJQJx-q_vfzXA81F_je2Y/s/1356290806/br/228790860904-l" TargetMode="External"/><Relationship Id="rId23"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eanThinking@hu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Housing/documents/FINAL_9.2023.Benchmarking-Instructions_with_Cover.pdf" TargetMode="External"/><Relationship Id="rId22" Type="http://schemas.openxmlformats.org/officeDocument/2006/relationships/image" Target="media/image2.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9010</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cp:revision>
  <cp:lastPrinted>2014-08-11T13:53:00Z</cp:lastPrinted>
  <dcterms:created xsi:type="dcterms:W3CDTF">2023-12-20T16:25:00Z</dcterms:created>
  <dcterms:modified xsi:type="dcterms:W3CDTF">2023-12-20T16:25:00Z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