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D3BE139"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008F7086" w:rsidR="00743DDB" w:rsidRPr="001F5102" w:rsidRDefault="00977763" w:rsidP="00863472">
      <w:pPr>
        <w:pStyle w:val="NoSpacing"/>
        <w:rPr>
          <w:rFonts w:ascii="Arial" w:hAnsi="Arial" w:cs="Arial"/>
          <w:iCs/>
          <w:sz w:val="28"/>
          <w:szCs w:val="28"/>
        </w:rPr>
      </w:pPr>
      <w:r>
        <w:rPr>
          <w:rFonts w:ascii="Arial" w:hAnsi="Arial" w:cs="Arial"/>
          <w:iCs/>
          <w:sz w:val="28"/>
          <w:szCs w:val="28"/>
        </w:rPr>
        <w:t>April 26</w:t>
      </w:r>
      <w:r w:rsidR="008129A3" w:rsidRPr="001F5102">
        <w:rPr>
          <w:rFonts w:ascii="Arial" w:hAnsi="Arial" w:cs="Arial"/>
          <w:iCs/>
          <w:sz w:val="28"/>
          <w:szCs w:val="28"/>
        </w:rPr>
        <w:t>, 20</w:t>
      </w:r>
      <w:r w:rsidR="001F686F" w:rsidRPr="001F5102">
        <w:rPr>
          <w:rFonts w:ascii="Arial" w:hAnsi="Arial" w:cs="Arial"/>
          <w:iCs/>
          <w:sz w:val="28"/>
          <w:szCs w:val="28"/>
        </w:rPr>
        <w:t>2</w:t>
      </w:r>
      <w:r w:rsidR="006762BB">
        <w:rPr>
          <w:rFonts w:ascii="Arial" w:hAnsi="Arial" w:cs="Arial"/>
          <w:iCs/>
          <w:sz w:val="28"/>
          <w:szCs w:val="28"/>
        </w:rPr>
        <w:t>3</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B62E6A" w:rsidRDefault="007D54CE" w:rsidP="00B62E6A">
      <w:pPr>
        <w:pStyle w:val="NoSpacing"/>
        <w:spacing w:before="120"/>
        <w:rPr>
          <w:rFonts w:ascii="Arial" w:hAnsi="Arial" w:cs="Arial"/>
          <w:i/>
          <w:color w:val="000066"/>
          <w:sz w:val="24"/>
          <w:szCs w:val="24"/>
          <w:u w:val="single"/>
        </w:rPr>
      </w:pPr>
    </w:p>
    <w:p w14:paraId="55A1C1CB" w14:textId="02D9D1D2" w:rsidR="00297C19" w:rsidRPr="00643BD1" w:rsidRDefault="00396DB3" w:rsidP="00643BD1">
      <w:pPr>
        <w:pStyle w:val="TOC1"/>
        <w:spacing w:before="120"/>
        <w:rPr>
          <w:rFonts w:asciiTheme="minorHAnsi" w:eastAsiaTheme="minorEastAsia" w:hAnsiTheme="minorHAnsi" w:cstheme="minorBidi"/>
          <w:noProof/>
          <w:color w:val="000066"/>
          <w:sz w:val="22"/>
        </w:rPr>
      </w:pPr>
      <w:r w:rsidRPr="00B62E6A">
        <w:rPr>
          <w:rFonts w:ascii="Arial" w:hAnsi="Arial" w:cs="Arial"/>
          <w:i/>
          <w:color w:val="000066"/>
        </w:rPr>
        <w:fldChar w:fldCharType="begin"/>
      </w:r>
      <w:r w:rsidRPr="00B62E6A">
        <w:rPr>
          <w:rFonts w:ascii="Arial" w:hAnsi="Arial" w:cs="Arial"/>
          <w:i/>
          <w:color w:val="000066"/>
        </w:rPr>
        <w:instrText xml:space="preserve"> TOC \o "1-3" \n \h \z \u </w:instrText>
      </w:r>
      <w:r w:rsidRPr="00B62E6A">
        <w:rPr>
          <w:rFonts w:ascii="Arial" w:hAnsi="Arial" w:cs="Arial"/>
          <w:i/>
          <w:color w:val="000066"/>
        </w:rPr>
        <w:fldChar w:fldCharType="separate"/>
      </w:r>
      <w:hyperlink w:anchor="_Toc133215781" w:history="1">
        <w:r w:rsidR="00297C19" w:rsidRPr="00643BD1">
          <w:rPr>
            <w:rStyle w:val="Hyperlink"/>
            <w:noProof/>
            <w:color w:val="000066"/>
          </w:rPr>
          <w:t>New Decision Circuit</w:t>
        </w:r>
      </w:hyperlink>
    </w:p>
    <w:p w14:paraId="3994782A" w14:textId="055F9812" w:rsidR="00297C19" w:rsidRPr="00643BD1" w:rsidRDefault="00B661FF" w:rsidP="00643BD1">
      <w:pPr>
        <w:pStyle w:val="TOC1"/>
        <w:spacing w:before="120"/>
        <w:rPr>
          <w:rFonts w:asciiTheme="minorHAnsi" w:eastAsiaTheme="minorEastAsia" w:hAnsiTheme="minorHAnsi" w:cstheme="minorBidi"/>
          <w:noProof/>
          <w:color w:val="000066"/>
          <w:sz w:val="22"/>
        </w:rPr>
      </w:pPr>
      <w:hyperlink w:anchor="_Toc133215782" w:history="1">
        <w:r w:rsidR="00297C19" w:rsidRPr="00643BD1">
          <w:rPr>
            <w:rStyle w:val="Hyperlink"/>
            <w:noProof/>
            <w:color w:val="000066"/>
          </w:rPr>
          <w:t>Proposed Rule: Floodplain Management and Protection of Wetlands – 24 CFR Part 55</w:t>
        </w:r>
      </w:hyperlink>
    </w:p>
    <w:p w14:paraId="0FD2C0EC" w14:textId="69E7E9F4" w:rsidR="00297C19" w:rsidRPr="00643BD1" w:rsidRDefault="00B661FF" w:rsidP="00643BD1">
      <w:pPr>
        <w:pStyle w:val="TOC1"/>
        <w:spacing w:before="120"/>
        <w:rPr>
          <w:rFonts w:asciiTheme="minorHAnsi" w:eastAsiaTheme="minorEastAsia" w:hAnsiTheme="minorHAnsi" w:cstheme="minorBidi"/>
          <w:noProof/>
          <w:color w:val="000066"/>
          <w:sz w:val="22"/>
        </w:rPr>
      </w:pPr>
      <w:hyperlink w:anchor="_Toc133215783" w:history="1">
        <w:r w:rsidR="00297C19" w:rsidRPr="00643BD1">
          <w:rPr>
            <w:rStyle w:val="Hyperlink"/>
            <w:noProof/>
            <w:color w:val="000066"/>
          </w:rPr>
          <w:t>Cash Flow Stress Test No Longer Required</w:t>
        </w:r>
      </w:hyperlink>
    </w:p>
    <w:p w14:paraId="6E0E6047" w14:textId="233FD329" w:rsidR="00743DDB" w:rsidRPr="001F5102" w:rsidRDefault="00396DB3" w:rsidP="00B62E6A">
      <w:pPr>
        <w:spacing w:before="120"/>
        <w:rPr>
          <w:rFonts w:ascii="Arial" w:hAnsi="Arial" w:cs="Arial"/>
          <w:iCs/>
        </w:rPr>
      </w:pPr>
      <w:r w:rsidRPr="00B62E6A">
        <w:rPr>
          <w:rFonts w:ascii="Arial" w:hAnsi="Arial" w:cs="Arial"/>
          <w:i/>
          <w:color w:val="000066"/>
        </w:rPr>
        <w:fldChar w:fldCharType="end"/>
      </w:r>
    </w:p>
    <w:p w14:paraId="5A625462" w14:textId="77777777" w:rsidR="000112A7" w:rsidRPr="001F5102" w:rsidRDefault="000112A7" w:rsidP="00863472">
      <w:pPr>
        <w:rPr>
          <w:rFonts w:ascii="Arial" w:hAnsi="Arial" w:cs="Arial"/>
          <w:iCs/>
        </w:rPr>
      </w:pPr>
    </w:p>
    <w:p w14:paraId="7F93B815" w14:textId="4EED98A8" w:rsidR="00057FFE" w:rsidRPr="00057FFE" w:rsidRDefault="00057FFE" w:rsidP="00057FFE">
      <w:pPr>
        <w:pStyle w:val="EmailBlast"/>
      </w:pPr>
      <w:bookmarkStart w:id="1" w:name="_Toc380585836"/>
      <w:bookmarkStart w:id="2" w:name="_Toc133215781"/>
      <w:bookmarkEnd w:id="1"/>
      <w:r w:rsidRPr="00057FFE">
        <w:rPr>
          <w:szCs w:val="24"/>
        </w:rPr>
        <w:t>New Decision Circuit</w:t>
      </w:r>
      <w:bookmarkEnd w:id="2"/>
    </w:p>
    <w:p w14:paraId="2BF80F09" w14:textId="383D1CAB" w:rsidR="0012453D" w:rsidRPr="0012453D" w:rsidRDefault="0012453D" w:rsidP="0012453D">
      <w:pPr>
        <w:rPr>
          <w:rFonts w:ascii="Arial" w:hAnsi="Arial" w:cs="Arial"/>
          <w:szCs w:val="24"/>
        </w:rPr>
      </w:pPr>
      <w:r>
        <w:rPr>
          <w:rFonts w:ascii="Arial" w:hAnsi="Arial" w:cs="Arial"/>
          <w:szCs w:val="24"/>
        </w:rPr>
        <w:t>The Office of Residential Care Facilities (</w:t>
      </w:r>
      <w:r w:rsidRPr="0012453D">
        <w:rPr>
          <w:rFonts w:ascii="Arial" w:hAnsi="Arial" w:cs="Arial"/>
          <w:szCs w:val="24"/>
        </w:rPr>
        <w:t>ORCF</w:t>
      </w:r>
      <w:r>
        <w:rPr>
          <w:rFonts w:ascii="Arial" w:hAnsi="Arial" w:cs="Arial"/>
          <w:szCs w:val="24"/>
        </w:rPr>
        <w:t>)</w:t>
      </w:r>
      <w:r w:rsidRPr="0012453D">
        <w:rPr>
          <w:rFonts w:ascii="Arial" w:hAnsi="Arial" w:cs="Arial"/>
          <w:szCs w:val="24"/>
        </w:rPr>
        <w:t xml:space="preserve"> has been testing a new version of the Decision Circuit (DC), a tool used in appraisal review and underwriting.</w:t>
      </w:r>
      <w:r>
        <w:rPr>
          <w:rFonts w:ascii="Arial" w:hAnsi="Arial" w:cs="Arial"/>
          <w:szCs w:val="24"/>
        </w:rPr>
        <w:t xml:space="preserve"> </w:t>
      </w:r>
      <w:r w:rsidRPr="0012453D">
        <w:rPr>
          <w:rFonts w:ascii="Arial" w:hAnsi="Arial" w:cs="Arial"/>
          <w:szCs w:val="24"/>
        </w:rPr>
        <w:t>This version is essentially a data transfer device. The fundamental difference</w:t>
      </w:r>
      <w:r w:rsidR="00AA4F5E">
        <w:rPr>
          <w:rFonts w:ascii="Arial" w:hAnsi="Arial" w:cs="Arial"/>
          <w:szCs w:val="24"/>
        </w:rPr>
        <w:t xml:space="preserve"> </w:t>
      </w:r>
      <w:r w:rsidR="00B139D2" w:rsidRPr="00B139D2">
        <w:rPr>
          <w:rFonts w:ascii="Arial" w:hAnsi="Arial" w:cs="Arial"/>
          <w:szCs w:val="24"/>
        </w:rPr>
        <w:t xml:space="preserve">between the new and former DC </w:t>
      </w:r>
      <w:r w:rsidRPr="0012453D">
        <w:rPr>
          <w:rFonts w:ascii="Arial" w:hAnsi="Arial" w:cs="Arial"/>
          <w:szCs w:val="24"/>
        </w:rPr>
        <w:t xml:space="preserve">is that instead of entering the data in the various worksheets, all the data will be put into one of two worksheets, “Appraisal Inputs” and “Lender Inputs”. The skeleton of the inputs is protected so the form can’t change significantly and the location of entries can’t move. We’ve included the traditional charts and tables used in Lender Narratives.  </w:t>
      </w:r>
    </w:p>
    <w:p w14:paraId="666585F6" w14:textId="77777777" w:rsidR="0012453D" w:rsidRPr="0012453D" w:rsidRDefault="0012453D" w:rsidP="0012453D">
      <w:pPr>
        <w:rPr>
          <w:rFonts w:ascii="Arial" w:hAnsi="Arial" w:cs="Arial"/>
          <w:szCs w:val="24"/>
        </w:rPr>
      </w:pPr>
    </w:p>
    <w:p w14:paraId="54EBE243" w14:textId="223A4251" w:rsidR="00057FFE" w:rsidRPr="00057FFE" w:rsidRDefault="0012453D" w:rsidP="0012453D">
      <w:pPr>
        <w:rPr>
          <w:rFonts w:ascii="Arial" w:hAnsi="Arial" w:cs="Arial"/>
          <w:szCs w:val="24"/>
        </w:rPr>
      </w:pPr>
      <w:r w:rsidRPr="0012453D">
        <w:rPr>
          <w:rFonts w:ascii="Arial" w:hAnsi="Arial" w:cs="Arial"/>
          <w:szCs w:val="24"/>
        </w:rPr>
        <w:t>To facilitate faster reviews</w:t>
      </w:r>
      <w:r w:rsidR="00AA4F5E">
        <w:rPr>
          <w:rFonts w:ascii="Arial" w:hAnsi="Arial" w:cs="Arial"/>
          <w:szCs w:val="24"/>
        </w:rPr>
        <w:t>,</w:t>
      </w:r>
      <w:r w:rsidRPr="0012453D">
        <w:rPr>
          <w:rFonts w:ascii="Arial" w:hAnsi="Arial" w:cs="Arial"/>
          <w:szCs w:val="24"/>
        </w:rPr>
        <w:t xml:space="preserve"> lenders typically fill the DC out for us as part of their application package. This is not a requirement as the DC is not a published form.  Because data can easily be transferred, lenders can use it with any suite of worksheets desired. The new DC can be found online </w:t>
      </w:r>
      <w:hyperlink r:id="rId12" w:history="1">
        <w:r w:rsidRPr="00977763">
          <w:rPr>
            <w:rStyle w:val="Hyperlink"/>
            <w:rFonts w:ascii="Arial" w:hAnsi="Arial" w:cs="Arial"/>
            <w:szCs w:val="24"/>
          </w:rPr>
          <w:t>here</w:t>
        </w:r>
      </w:hyperlink>
      <w:r w:rsidRPr="0012453D">
        <w:rPr>
          <w:rFonts w:ascii="Arial" w:hAnsi="Arial" w:cs="Arial"/>
          <w:szCs w:val="24"/>
        </w:rPr>
        <w:t>. ORCF welcomes comments.</w:t>
      </w:r>
    </w:p>
    <w:p w14:paraId="48FC1D04" w14:textId="77777777" w:rsidR="0012453D" w:rsidRDefault="0012453D" w:rsidP="00057FFE">
      <w:pPr>
        <w:rPr>
          <w:rFonts w:ascii="Arial" w:hAnsi="Arial" w:cs="Arial"/>
          <w:b/>
          <w:bCs/>
          <w:i/>
          <w:iCs/>
          <w:szCs w:val="24"/>
        </w:rPr>
      </w:pPr>
    </w:p>
    <w:p w14:paraId="78541794" w14:textId="10B9F517" w:rsidR="00057FFE" w:rsidRPr="00057FFE" w:rsidRDefault="00057FFE" w:rsidP="00057FFE">
      <w:pPr>
        <w:rPr>
          <w:rFonts w:ascii="Arial" w:hAnsi="Arial" w:cs="Arial"/>
          <w:szCs w:val="24"/>
        </w:rPr>
      </w:pPr>
      <w:r w:rsidRPr="00057FFE">
        <w:rPr>
          <w:rFonts w:ascii="Arial" w:hAnsi="Arial" w:cs="Arial"/>
          <w:b/>
          <w:bCs/>
          <w:i/>
          <w:iCs/>
          <w:szCs w:val="24"/>
        </w:rPr>
        <w:t>Keywords:</w:t>
      </w:r>
      <w:r w:rsidRPr="00057FFE">
        <w:rPr>
          <w:rFonts w:ascii="Arial" w:hAnsi="Arial" w:cs="Arial"/>
          <w:szCs w:val="24"/>
        </w:rPr>
        <w:t xml:space="preserve"> Decision Circuit, Appraisal Review</w:t>
      </w:r>
    </w:p>
    <w:p w14:paraId="237236C5" w14:textId="77777777" w:rsidR="000D49B8" w:rsidRPr="00E165B8" w:rsidRDefault="000D49B8" w:rsidP="000D49B8">
      <w:pPr>
        <w:rPr>
          <w:rFonts w:ascii="Arial" w:hAnsi="Arial" w:cs="Arial"/>
          <w:szCs w:val="24"/>
        </w:rPr>
      </w:pPr>
    </w:p>
    <w:p w14:paraId="359A89B1" w14:textId="77777777" w:rsidR="000D49B8" w:rsidRPr="001F5102" w:rsidRDefault="00B661FF" w:rsidP="000D49B8">
      <w:pPr>
        <w:rPr>
          <w:rFonts w:ascii="Arial" w:hAnsi="Arial" w:cs="Arial"/>
          <w:b/>
          <w:color w:val="365F91" w:themeColor="accent1" w:themeShade="BF"/>
          <w:szCs w:val="24"/>
        </w:rPr>
      </w:pPr>
      <w:hyperlink w:anchor="_top" w:history="1">
        <w:r w:rsidR="000D49B8" w:rsidRPr="001F5102">
          <w:rPr>
            <w:rFonts w:ascii="Arial" w:hAnsi="Arial" w:cs="Arial"/>
            <w:color w:val="365F91" w:themeColor="accent1" w:themeShade="BF"/>
            <w:szCs w:val="24"/>
            <w:u w:val="single"/>
          </w:rPr>
          <w:t>Back to top</w:t>
        </w:r>
      </w:hyperlink>
    </w:p>
    <w:p w14:paraId="587C47BA" w14:textId="77777777" w:rsidR="000D49B8" w:rsidRDefault="000D49B8" w:rsidP="005C1E0A">
      <w:pPr>
        <w:pStyle w:val="EmailBlast"/>
      </w:pPr>
    </w:p>
    <w:p w14:paraId="793782AC" w14:textId="7E98F581" w:rsidR="00DD4939" w:rsidRPr="00DD4939" w:rsidRDefault="001D4136" w:rsidP="001D4136">
      <w:pPr>
        <w:pStyle w:val="EmailBlast"/>
        <w:rPr>
          <w:rFonts w:ascii="Calibri" w:hAnsi="Calibri" w:cs="Calibri"/>
          <w:sz w:val="22"/>
          <w14:ligatures w14:val="standardContextual"/>
        </w:rPr>
      </w:pPr>
      <w:bookmarkStart w:id="3" w:name="_Toc133215782"/>
      <w:r>
        <w:t>Proposed Rule: Floodplain Management and Protection of Wetlands – 24 CFR Part 55</w:t>
      </w:r>
      <w:bookmarkEnd w:id="3"/>
    </w:p>
    <w:p w14:paraId="03A3AF3C" w14:textId="77777777" w:rsidR="002433E1" w:rsidRPr="002433E1" w:rsidRDefault="002433E1" w:rsidP="002433E1">
      <w:pPr>
        <w:rPr>
          <w:rFonts w:ascii="Arial" w:hAnsi="Arial" w:cs="Arial"/>
          <w:szCs w:val="24"/>
          <w14:ligatures w14:val="standardContextual"/>
        </w:rPr>
      </w:pPr>
      <w:r w:rsidRPr="002433E1">
        <w:rPr>
          <w:rFonts w:ascii="Arial" w:hAnsi="Arial" w:cs="Arial"/>
          <w:szCs w:val="24"/>
          <w14:ligatures w14:val="standardContextual"/>
        </w:rPr>
        <w:t xml:space="preserve">On March 24, 2023, HUD announced the publication of the Notice of Proposed Rulemaking (NPRM) for the proposed rule </w:t>
      </w:r>
      <w:bookmarkStart w:id="4" w:name="_Hlk132959296"/>
      <w:r w:rsidRPr="002433E1">
        <w:rPr>
          <w:rFonts w:ascii="Arial" w:hAnsi="Arial" w:cs="Arial"/>
          <w:i/>
          <w:iCs/>
          <w:szCs w:val="24"/>
          <w14:ligatures w14:val="standardContextual"/>
        </w:rPr>
        <w:t xml:space="preserve">Floodplain Management and Protection of </w:t>
      </w:r>
      <w:r w:rsidRPr="002433E1">
        <w:rPr>
          <w:rFonts w:ascii="Arial" w:hAnsi="Arial" w:cs="Arial"/>
          <w:i/>
          <w:iCs/>
          <w:szCs w:val="24"/>
          <w14:ligatures w14:val="standardContextual"/>
        </w:rPr>
        <w:lastRenderedPageBreak/>
        <w:t>Wetlands; Minimum Property Standards for Flood Hazard Exposure; Building to the Federal Flood Risk Management Standard</w:t>
      </w:r>
      <w:bookmarkEnd w:id="4"/>
      <w:r w:rsidRPr="002433E1">
        <w:rPr>
          <w:rFonts w:ascii="Arial" w:hAnsi="Arial" w:cs="Arial"/>
          <w:szCs w:val="24"/>
          <w14:ligatures w14:val="standardContextual"/>
        </w:rPr>
        <w:t xml:space="preserve">, and the associated opening of the public comment period through May 23, 2023. With this NPRM, HUD takes a major step in addressing future flood risk and ensuring the safety of HUD-assisted residents and federal investments. </w:t>
      </w:r>
    </w:p>
    <w:p w14:paraId="39863B0F" w14:textId="77777777" w:rsidR="002433E1" w:rsidRPr="002433E1" w:rsidRDefault="002433E1" w:rsidP="002433E1">
      <w:pPr>
        <w:rPr>
          <w:rFonts w:ascii="Arial" w:hAnsi="Arial" w:cs="Arial"/>
          <w:szCs w:val="24"/>
          <w14:ligatures w14:val="standardContextual"/>
        </w:rPr>
      </w:pPr>
    </w:p>
    <w:p w14:paraId="6D947302" w14:textId="77777777" w:rsidR="002433E1" w:rsidRPr="002433E1" w:rsidRDefault="002433E1" w:rsidP="002433E1">
      <w:pPr>
        <w:rPr>
          <w:rFonts w:ascii="Arial" w:hAnsi="Arial" w:cs="Arial"/>
          <w:szCs w:val="24"/>
          <w14:ligatures w14:val="standardContextual"/>
        </w:rPr>
      </w:pPr>
      <w:r w:rsidRPr="002433E1">
        <w:rPr>
          <w:rFonts w:ascii="Arial" w:hAnsi="Arial" w:cs="Arial"/>
          <w:szCs w:val="24"/>
          <w14:ligatures w14:val="standardContextual"/>
        </w:rPr>
        <w:t xml:space="preserve">The proposed rule implements the Federal Flood Risk Management Standard (FFRMS). The FFRMS addresses requirements of Executive Order (E.O.) 13690, </w:t>
      </w:r>
      <w:r w:rsidRPr="002433E1">
        <w:rPr>
          <w:rFonts w:ascii="Arial" w:hAnsi="Arial" w:cs="Arial"/>
          <w:i/>
          <w:iCs/>
          <w:szCs w:val="24"/>
          <w14:ligatures w14:val="standardContextual"/>
        </w:rPr>
        <w:t xml:space="preserve">Establishing a Federal Flood Risk Management Standard and a Process for Further Soliciting and Considering Stakeholder Input. </w:t>
      </w:r>
    </w:p>
    <w:p w14:paraId="730CF548" w14:textId="77777777" w:rsidR="002433E1" w:rsidRPr="002433E1" w:rsidRDefault="002433E1" w:rsidP="002433E1">
      <w:pPr>
        <w:rPr>
          <w:rFonts w:ascii="Arial" w:hAnsi="Arial" w:cs="Arial"/>
          <w:szCs w:val="24"/>
          <w14:ligatures w14:val="standardContextual"/>
        </w:rPr>
      </w:pPr>
    </w:p>
    <w:p w14:paraId="532AB82D" w14:textId="77777777" w:rsidR="002433E1" w:rsidRPr="002433E1" w:rsidRDefault="002433E1" w:rsidP="002433E1">
      <w:pPr>
        <w:rPr>
          <w:rFonts w:ascii="Arial" w:hAnsi="Arial" w:cs="Arial"/>
          <w:szCs w:val="24"/>
          <w14:ligatures w14:val="standardContextual"/>
        </w:rPr>
      </w:pPr>
      <w:r w:rsidRPr="002433E1">
        <w:rPr>
          <w:rFonts w:ascii="Arial" w:hAnsi="Arial" w:cs="Arial"/>
          <w:szCs w:val="24"/>
          <w14:ligatures w14:val="standardContextual"/>
        </w:rPr>
        <w:t xml:space="preserve">HUD’s proposed rule affects projects receiving HUD assistance, financing, or mortgage insurance. The FFRMS floodplain expands the 1-percent-annual-chance (100-year) floodplain both vertically (based on projections of increased flood height) and horizontally (to reflect the vertical increase depending on the topography of a site). The proposed rule establishes that, when possible, a Climate Informed Science Approach (CISA) should be used to determine the FFRMS floodplain, utilizing the best-available, actionable hydrologic and hydraulic data. Where this data is unavailable, the rule provides for alternate approaches to determine the FFRMS floodplain based on the best available data/information. HUD also anticipates that over time, additional data will increase the capability of a CISA application nationwide. </w:t>
      </w:r>
    </w:p>
    <w:p w14:paraId="28E87B47" w14:textId="77777777" w:rsidR="002433E1" w:rsidRPr="002433E1" w:rsidRDefault="002433E1" w:rsidP="002433E1">
      <w:pPr>
        <w:rPr>
          <w:rFonts w:ascii="Arial" w:hAnsi="Arial" w:cs="Arial"/>
          <w:szCs w:val="24"/>
          <w14:ligatures w14:val="standardContextual"/>
        </w:rPr>
      </w:pPr>
    </w:p>
    <w:p w14:paraId="79CE1FF7" w14:textId="77777777" w:rsidR="002433E1" w:rsidRPr="002433E1" w:rsidRDefault="002433E1" w:rsidP="002433E1">
      <w:pPr>
        <w:rPr>
          <w:rFonts w:ascii="Arial" w:hAnsi="Arial" w:cs="Arial"/>
          <w:szCs w:val="24"/>
          <w14:ligatures w14:val="standardContextual"/>
        </w:rPr>
      </w:pPr>
      <w:r w:rsidRPr="002433E1">
        <w:rPr>
          <w:rFonts w:ascii="Arial" w:hAnsi="Arial" w:cs="Arial"/>
          <w:szCs w:val="24"/>
          <w14:ligatures w14:val="standardContextual"/>
        </w:rPr>
        <w:t xml:space="preserve">The proposed rule requires that newly constructed or substantially improved structures within the FFRMS floodplain be elevated or, for certain non-critical actions, floodproofed to the FFRMS floodplain elevation. This proposed rule expands the applicability of the longstanding 8-step process to areas based on both current and anticipated future flood risk. </w:t>
      </w:r>
    </w:p>
    <w:p w14:paraId="73AD4A60" w14:textId="77777777" w:rsidR="002433E1" w:rsidRPr="002433E1" w:rsidRDefault="002433E1" w:rsidP="002433E1">
      <w:pPr>
        <w:rPr>
          <w:rFonts w:ascii="Arial" w:hAnsi="Arial" w:cs="Arial"/>
          <w:szCs w:val="24"/>
          <w14:ligatures w14:val="standardContextual"/>
        </w:rPr>
      </w:pPr>
    </w:p>
    <w:p w14:paraId="5A0B4A9F" w14:textId="77777777" w:rsidR="002433E1" w:rsidRPr="002433E1" w:rsidRDefault="002433E1" w:rsidP="002433E1">
      <w:pPr>
        <w:rPr>
          <w:rFonts w:ascii="Arial" w:hAnsi="Arial" w:cs="Arial"/>
          <w:szCs w:val="24"/>
          <w14:ligatures w14:val="standardContextual"/>
        </w:rPr>
      </w:pPr>
      <w:r w:rsidRPr="002433E1">
        <w:rPr>
          <w:rFonts w:ascii="Arial" w:hAnsi="Arial" w:cs="Arial"/>
          <w:szCs w:val="24"/>
          <w14:ligatures w14:val="standardContextual"/>
        </w:rPr>
        <w:t xml:space="preserve">Interested parties are encouraged to submit any comments they have on the proposed rule. More information about the proposed rule, as well as answers to frequently asked questions, can be found on the proposed rules webpage found </w:t>
      </w:r>
      <w:hyperlink r:id="rId13" w:history="1">
        <w:r w:rsidRPr="002433E1">
          <w:rPr>
            <w:rStyle w:val="Hyperlink"/>
            <w:rFonts w:ascii="Arial" w:hAnsi="Arial" w:cs="Arial"/>
            <w:szCs w:val="24"/>
            <w14:ligatures w14:val="standardContextual"/>
          </w:rPr>
          <w:t>here</w:t>
        </w:r>
      </w:hyperlink>
      <w:r w:rsidRPr="002433E1">
        <w:rPr>
          <w:rFonts w:ascii="Arial" w:hAnsi="Arial" w:cs="Arial"/>
          <w:szCs w:val="24"/>
          <w14:ligatures w14:val="standardContextual"/>
        </w:rPr>
        <w:t xml:space="preserve">. Information on how and where to submit comments can be found in the Federal Register notice announcing the draft policy and comment period at this </w:t>
      </w:r>
      <w:hyperlink r:id="rId14" w:history="1">
        <w:r w:rsidRPr="002433E1">
          <w:rPr>
            <w:rStyle w:val="Hyperlink"/>
            <w:rFonts w:ascii="Arial" w:hAnsi="Arial" w:cs="Arial"/>
            <w:szCs w:val="24"/>
            <w14:ligatures w14:val="standardContextual"/>
          </w:rPr>
          <w:t>link</w:t>
        </w:r>
      </w:hyperlink>
      <w:r w:rsidRPr="002433E1">
        <w:rPr>
          <w:rFonts w:ascii="Arial" w:hAnsi="Arial" w:cs="Arial"/>
          <w:szCs w:val="24"/>
          <w14:ligatures w14:val="standardContextual"/>
        </w:rPr>
        <w:t>.</w:t>
      </w:r>
    </w:p>
    <w:p w14:paraId="7E3A9870" w14:textId="77777777" w:rsidR="002433E1" w:rsidRPr="002433E1" w:rsidRDefault="002433E1" w:rsidP="002433E1">
      <w:pPr>
        <w:rPr>
          <w:rFonts w:ascii="Arial" w:hAnsi="Arial" w:cs="Arial"/>
          <w:szCs w:val="24"/>
          <w14:ligatures w14:val="standardContextual"/>
        </w:rPr>
      </w:pPr>
    </w:p>
    <w:p w14:paraId="28F7095C" w14:textId="0BE5E04D" w:rsidR="002433E1" w:rsidRPr="002433E1" w:rsidRDefault="002433E1" w:rsidP="002433E1">
      <w:pPr>
        <w:rPr>
          <w:rFonts w:ascii="Arial" w:hAnsi="Arial" w:cs="Arial"/>
          <w:szCs w:val="24"/>
          <w14:ligatures w14:val="standardContextual"/>
        </w:rPr>
      </w:pPr>
      <w:r w:rsidRPr="002433E1">
        <w:rPr>
          <w:rFonts w:ascii="Arial" w:hAnsi="Arial" w:cs="Arial"/>
          <w:szCs w:val="24"/>
          <w14:ligatures w14:val="standardContextual"/>
        </w:rPr>
        <w:t>Additionally, HUD will be hosting live listening sessions where interested members of the public and stakeholder groups may provide comments on May 2</w:t>
      </w:r>
      <w:r w:rsidRPr="002433E1">
        <w:rPr>
          <w:rFonts w:ascii="Arial" w:hAnsi="Arial" w:cs="Arial"/>
          <w:szCs w:val="24"/>
          <w:vertAlign w:val="superscript"/>
          <w14:ligatures w14:val="standardContextual"/>
        </w:rPr>
        <w:t>nd</w:t>
      </w:r>
      <w:r w:rsidRPr="002433E1">
        <w:rPr>
          <w:rFonts w:ascii="Arial" w:hAnsi="Arial" w:cs="Arial"/>
          <w:szCs w:val="24"/>
          <w14:ligatures w14:val="standardContextual"/>
        </w:rPr>
        <w:t xml:space="preserve"> and May 15</w:t>
      </w:r>
      <w:r w:rsidRPr="002433E1">
        <w:rPr>
          <w:rFonts w:ascii="Arial" w:hAnsi="Arial" w:cs="Arial"/>
          <w:szCs w:val="24"/>
          <w:vertAlign w:val="superscript"/>
          <w14:ligatures w14:val="standardContextual"/>
        </w:rPr>
        <w:t>th</w:t>
      </w:r>
      <w:r w:rsidRPr="002433E1">
        <w:rPr>
          <w:rFonts w:ascii="Arial" w:hAnsi="Arial" w:cs="Arial"/>
          <w:szCs w:val="24"/>
          <w14:ligatures w14:val="standardContextual"/>
        </w:rPr>
        <w:t xml:space="preserve">. Each session will be hosted from 3:00-4:30 PM EST. Registration information for the sessions can be found at the links below. All content presented across all sessions will remain the same; however, to maximize attendance we encourage your participation at the appropriate session. </w:t>
      </w:r>
      <w:r w:rsidR="008E4170" w:rsidRPr="008E4170">
        <w:rPr>
          <w:rFonts w:ascii="Arial" w:hAnsi="Arial" w:cs="Arial"/>
          <w:szCs w:val="24"/>
          <w14:ligatures w14:val="standardContextual"/>
        </w:rPr>
        <w:t xml:space="preserve">The purpose of the </w:t>
      </w:r>
      <w:r w:rsidR="008E4170">
        <w:rPr>
          <w:rFonts w:ascii="Arial" w:hAnsi="Arial" w:cs="Arial"/>
          <w:szCs w:val="24"/>
          <w14:ligatures w14:val="standardContextual"/>
        </w:rPr>
        <w:t>listening</w:t>
      </w:r>
      <w:r w:rsidR="008E4170" w:rsidRPr="008E4170">
        <w:rPr>
          <w:rFonts w:ascii="Arial" w:hAnsi="Arial" w:cs="Arial"/>
          <w:szCs w:val="24"/>
          <w14:ligatures w14:val="standardContextual"/>
        </w:rPr>
        <w:t xml:space="preserve"> sessions is to seek individual opinions of the participants, and not a request for participants to come to a consensus</w:t>
      </w:r>
      <w:r w:rsidR="008E4170">
        <w:rPr>
          <w:rFonts w:ascii="Arial" w:hAnsi="Arial" w:cs="Arial"/>
          <w:szCs w:val="24"/>
          <w14:ligatures w14:val="standardContextual"/>
        </w:rPr>
        <w:t>.</w:t>
      </w:r>
    </w:p>
    <w:p w14:paraId="282ECDE3" w14:textId="77777777" w:rsidR="002433E1" w:rsidRPr="002433E1" w:rsidRDefault="002433E1" w:rsidP="002433E1">
      <w:pPr>
        <w:rPr>
          <w:rFonts w:ascii="Arial" w:hAnsi="Arial" w:cs="Arial"/>
          <w:szCs w:val="24"/>
          <w14:ligatures w14:val="standardContextual"/>
        </w:rPr>
      </w:pPr>
    </w:p>
    <w:p w14:paraId="269D5189" w14:textId="06D8916C" w:rsidR="002433E1" w:rsidRDefault="00B661FF" w:rsidP="002433E1">
      <w:pPr>
        <w:numPr>
          <w:ilvl w:val="0"/>
          <w:numId w:val="44"/>
        </w:numPr>
        <w:rPr>
          <w:rFonts w:ascii="Arial" w:hAnsi="Arial" w:cs="Arial"/>
          <w:b/>
          <w:bCs/>
          <w:szCs w:val="24"/>
          <w14:ligatures w14:val="standardContextual"/>
        </w:rPr>
      </w:pPr>
      <w:hyperlink r:id="rId15" w:history="1">
        <w:r w:rsidR="002433E1" w:rsidRPr="00643BD1">
          <w:rPr>
            <w:rStyle w:val="Hyperlink"/>
            <w:rFonts w:ascii="Arial" w:hAnsi="Arial" w:cs="Arial"/>
            <w:b/>
            <w:bCs/>
            <w:szCs w:val="24"/>
            <w14:ligatures w14:val="standardContextual"/>
          </w:rPr>
          <w:t>FFRMS Listening Session 2 – Federally Recognized Tribes, Native Hawaiian Organizations, and Alaskan Native Attendees- Registration Link (May 2, 2023)</w:t>
        </w:r>
      </w:hyperlink>
    </w:p>
    <w:p w14:paraId="44353651" w14:textId="77777777" w:rsidR="00643BD1" w:rsidRPr="002433E1" w:rsidRDefault="00643BD1" w:rsidP="00643BD1">
      <w:pPr>
        <w:ind w:left="720"/>
        <w:rPr>
          <w:rFonts w:ascii="Arial" w:hAnsi="Arial" w:cs="Arial"/>
          <w:b/>
          <w:bCs/>
          <w:szCs w:val="24"/>
          <w14:ligatures w14:val="standardContextual"/>
        </w:rPr>
      </w:pPr>
    </w:p>
    <w:p w14:paraId="4ED6D589" w14:textId="3D4F8A8A" w:rsidR="002433E1" w:rsidRPr="002433E1" w:rsidRDefault="00B661FF" w:rsidP="002433E1">
      <w:pPr>
        <w:numPr>
          <w:ilvl w:val="0"/>
          <w:numId w:val="44"/>
        </w:numPr>
        <w:rPr>
          <w:rFonts w:ascii="Arial" w:hAnsi="Arial" w:cs="Arial"/>
          <w:b/>
          <w:bCs/>
          <w:szCs w:val="24"/>
          <w14:ligatures w14:val="standardContextual"/>
        </w:rPr>
      </w:pPr>
      <w:hyperlink r:id="rId16" w:history="1">
        <w:r w:rsidR="002433E1" w:rsidRPr="00643BD1">
          <w:rPr>
            <w:rStyle w:val="Hyperlink"/>
            <w:rFonts w:ascii="Arial" w:hAnsi="Arial" w:cs="Arial"/>
            <w:b/>
            <w:bCs/>
            <w:szCs w:val="24"/>
            <w14:ligatures w14:val="standardContextual"/>
          </w:rPr>
          <w:t>FFRMS Listening Session 3 – Open Public Forum - Registration Link (May 15, 2023)</w:t>
        </w:r>
      </w:hyperlink>
    </w:p>
    <w:p w14:paraId="25A76171" w14:textId="77777777" w:rsidR="007F1DFA" w:rsidRPr="00DD4939" w:rsidRDefault="007F1DFA" w:rsidP="007F1DFA">
      <w:pPr>
        <w:rPr>
          <w:rFonts w:ascii="Arial" w:hAnsi="Arial" w:cs="Arial"/>
          <w:szCs w:val="24"/>
        </w:rPr>
      </w:pPr>
    </w:p>
    <w:p w14:paraId="60CD439D" w14:textId="1BF33B4C" w:rsidR="007F1DFA" w:rsidRPr="00DD4939" w:rsidRDefault="005C1E0A" w:rsidP="007F1DFA">
      <w:pPr>
        <w:rPr>
          <w:rFonts w:ascii="Arial" w:hAnsi="Arial" w:cs="Arial"/>
          <w:szCs w:val="24"/>
        </w:rPr>
      </w:pPr>
      <w:r w:rsidRPr="00DD4939">
        <w:rPr>
          <w:rFonts w:ascii="Arial" w:hAnsi="Arial" w:cs="Arial"/>
          <w:b/>
          <w:i/>
          <w:szCs w:val="24"/>
        </w:rPr>
        <w:t>Keywords:</w:t>
      </w:r>
      <w:r w:rsidRPr="00DD4939">
        <w:rPr>
          <w:rFonts w:ascii="Arial" w:hAnsi="Arial" w:cs="Arial"/>
          <w:i/>
          <w:szCs w:val="24"/>
        </w:rPr>
        <w:t xml:space="preserve"> </w:t>
      </w:r>
      <w:r w:rsidR="00030A49">
        <w:t>Floodplain, Flood, Wetlands, FFRMS</w:t>
      </w:r>
    </w:p>
    <w:p w14:paraId="6A7B9F14" w14:textId="7B1903EC" w:rsidR="00B2122A" w:rsidRPr="00DD4939" w:rsidRDefault="00B2122A" w:rsidP="00B2122A">
      <w:pPr>
        <w:rPr>
          <w:rFonts w:ascii="Arial" w:eastAsia="MS Mincho" w:hAnsi="Arial" w:cs="Arial"/>
          <w:b/>
          <w:szCs w:val="24"/>
        </w:rPr>
      </w:pPr>
    </w:p>
    <w:p w14:paraId="682647E3" w14:textId="77777777" w:rsidR="00B7164F" w:rsidRPr="001F5102" w:rsidRDefault="00B661FF"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492CECAF" w14:textId="063E371D" w:rsidR="00997C33" w:rsidRDefault="00997C33" w:rsidP="00997C33">
      <w:pPr>
        <w:rPr>
          <w:rFonts w:ascii="Arial" w:hAnsi="Arial" w:cs="Arial"/>
        </w:rPr>
      </w:pPr>
    </w:p>
    <w:p w14:paraId="65500523" w14:textId="1FB9E45F" w:rsidR="00EF6FF3" w:rsidRDefault="00EF6FF3" w:rsidP="00EF6FF3">
      <w:pPr>
        <w:pStyle w:val="EmailBlast"/>
      </w:pPr>
      <w:bookmarkStart w:id="5" w:name="_Toc133215783"/>
      <w:r>
        <w:t>Cash Flow Stress Test No Longer Required</w:t>
      </w:r>
      <w:bookmarkEnd w:id="5"/>
    </w:p>
    <w:p w14:paraId="3ABDD48F" w14:textId="5DD6D22E" w:rsidR="00A37B03" w:rsidRDefault="005F04D1" w:rsidP="00A37B03">
      <w:pPr>
        <w:rPr>
          <w:rFonts w:ascii="Arial" w:hAnsi="Arial" w:cs="Arial"/>
          <w:szCs w:val="24"/>
        </w:rPr>
      </w:pPr>
      <w:r w:rsidRPr="005F04D1">
        <w:rPr>
          <w:rFonts w:ascii="Arial" w:hAnsi="Arial" w:cs="Arial"/>
          <w:szCs w:val="24"/>
        </w:rPr>
        <w:t xml:space="preserve">The Cash Flow Stress Test has been a very useful tool during the COVID Pandemic.  However, in light of the fact that </w:t>
      </w:r>
      <w:r w:rsidR="00AA4F5E">
        <w:rPr>
          <w:rFonts w:ascii="Arial" w:hAnsi="Arial" w:cs="Arial"/>
          <w:szCs w:val="24"/>
        </w:rPr>
        <w:t>COVID-19 National Emergency</w:t>
      </w:r>
      <w:r w:rsidR="00977763">
        <w:rPr>
          <w:rFonts w:ascii="Arial" w:hAnsi="Arial" w:cs="Arial"/>
          <w:szCs w:val="24"/>
        </w:rPr>
        <w:t xml:space="preserve"> </w:t>
      </w:r>
      <w:r w:rsidRPr="005F04D1">
        <w:rPr>
          <w:rFonts w:ascii="Arial" w:hAnsi="Arial" w:cs="Arial"/>
          <w:szCs w:val="24"/>
        </w:rPr>
        <w:t xml:space="preserve">is expiring </w:t>
      </w:r>
      <w:r w:rsidR="00AA4F5E">
        <w:rPr>
          <w:rFonts w:ascii="Arial" w:hAnsi="Arial" w:cs="Arial"/>
          <w:szCs w:val="24"/>
        </w:rPr>
        <w:t>on</w:t>
      </w:r>
      <w:r w:rsidR="00977763">
        <w:rPr>
          <w:rFonts w:ascii="Arial" w:hAnsi="Arial" w:cs="Arial"/>
          <w:szCs w:val="24"/>
        </w:rPr>
        <w:t xml:space="preserve"> </w:t>
      </w:r>
      <w:r w:rsidRPr="005F04D1">
        <w:rPr>
          <w:rFonts w:ascii="Arial" w:hAnsi="Arial" w:cs="Arial"/>
          <w:szCs w:val="24"/>
        </w:rPr>
        <w:t>May</w:t>
      </w:r>
      <w:r w:rsidR="00AA4F5E">
        <w:rPr>
          <w:rFonts w:ascii="Arial" w:hAnsi="Arial" w:cs="Arial"/>
          <w:szCs w:val="24"/>
        </w:rPr>
        <w:t xml:space="preserve"> 11, 2023</w:t>
      </w:r>
      <w:r w:rsidRPr="005F04D1">
        <w:rPr>
          <w:rFonts w:ascii="Arial" w:hAnsi="Arial" w:cs="Arial"/>
          <w:szCs w:val="24"/>
        </w:rPr>
        <w:t xml:space="preserve">, ORCF has determined that the stress test with monthly financial </w:t>
      </w:r>
      <w:r w:rsidR="00977763" w:rsidRPr="005F04D1">
        <w:rPr>
          <w:rFonts w:ascii="Arial" w:hAnsi="Arial" w:cs="Arial"/>
          <w:szCs w:val="24"/>
        </w:rPr>
        <w:t>metrics</w:t>
      </w:r>
      <w:r w:rsidR="00977763">
        <w:rPr>
          <w:rFonts w:ascii="Arial" w:hAnsi="Arial" w:cs="Arial"/>
          <w:szCs w:val="24"/>
        </w:rPr>
        <w:t xml:space="preserve"> will</w:t>
      </w:r>
      <w:r w:rsidR="00AA4F5E">
        <w:rPr>
          <w:rFonts w:ascii="Arial" w:hAnsi="Arial" w:cs="Arial"/>
          <w:szCs w:val="24"/>
        </w:rPr>
        <w:t xml:space="preserve"> no longer be required</w:t>
      </w:r>
      <w:r w:rsidRPr="005F04D1">
        <w:rPr>
          <w:rFonts w:ascii="Arial" w:hAnsi="Arial" w:cs="Arial"/>
          <w:szCs w:val="24"/>
        </w:rPr>
        <w:t>.  We do, however, continue to expect the lender to include the Lender Narrative Appendix, which requires the lender to address a number of COVID-related impacts, including potential staffing impacts.</w:t>
      </w:r>
    </w:p>
    <w:p w14:paraId="08EE32E8" w14:textId="77777777" w:rsidR="005F04D1" w:rsidRDefault="005F04D1" w:rsidP="00A37B03">
      <w:pPr>
        <w:rPr>
          <w:rFonts w:ascii="Arial" w:hAnsi="Arial" w:cs="Arial"/>
          <w:b/>
          <w:bCs/>
          <w:i/>
          <w:iCs/>
          <w:szCs w:val="24"/>
        </w:rPr>
      </w:pPr>
    </w:p>
    <w:p w14:paraId="1F904EF0" w14:textId="2BD45594" w:rsidR="00A37B03" w:rsidRPr="00057FFE" w:rsidRDefault="00A37B03" w:rsidP="00A37B03">
      <w:pPr>
        <w:rPr>
          <w:rFonts w:ascii="Arial" w:hAnsi="Arial" w:cs="Arial"/>
          <w:szCs w:val="24"/>
        </w:rPr>
      </w:pPr>
      <w:r w:rsidRPr="00057FFE">
        <w:rPr>
          <w:rFonts w:ascii="Arial" w:hAnsi="Arial" w:cs="Arial"/>
          <w:b/>
          <w:bCs/>
          <w:i/>
          <w:iCs/>
          <w:szCs w:val="24"/>
        </w:rPr>
        <w:t>Keywords:</w:t>
      </w:r>
      <w:r w:rsidRPr="00057FFE">
        <w:rPr>
          <w:rFonts w:ascii="Arial" w:hAnsi="Arial" w:cs="Arial"/>
          <w:szCs w:val="24"/>
        </w:rPr>
        <w:t xml:space="preserve"> </w:t>
      </w:r>
      <w:r w:rsidR="00DC4233">
        <w:rPr>
          <w:rFonts w:ascii="Arial" w:hAnsi="Arial" w:cs="Arial"/>
          <w:szCs w:val="24"/>
        </w:rPr>
        <w:t>Cash Flow Stress Test</w:t>
      </w:r>
    </w:p>
    <w:p w14:paraId="7E31109F" w14:textId="77777777" w:rsidR="00A37B03" w:rsidRPr="00E165B8" w:rsidRDefault="00A37B03" w:rsidP="00A37B03">
      <w:pPr>
        <w:rPr>
          <w:rFonts w:ascii="Arial" w:hAnsi="Arial" w:cs="Arial"/>
          <w:szCs w:val="24"/>
        </w:rPr>
      </w:pPr>
    </w:p>
    <w:p w14:paraId="5846A9FB" w14:textId="77777777" w:rsidR="00A37B03" w:rsidRPr="001F5102" w:rsidRDefault="00B661FF" w:rsidP="00A37B03">
      <w:pPr>
        <w:rPr>
          <w:rFonts w:ascii="Arial" w:hAnsi="Arial" w:cs="Arial"/>
          <w:b/>
          <w:color w:val="365F91" w:themeColor="accent1" w:themeShade="BF"/>
          <w:szCs w:val="24"/>
        </w:rPr>
      </w:pPr>
      <w:hyperlink w:anchor="_top" w:history="1">
        <w:r w:rsidR="00A37B03" w:rsidRPr="001F5102">
          <w:rPr>
            <w:rFonts w:ascii="Arial" w:hAnsi="Arial" w:cs="Arial"/>
            <w:color w:val="365F91" w:themeColor="accent1" w:themeShade="BF"/>
            <w:szCs w:val="24"/>
            <w:u w:val="single"/>
          </w:rPr>
          <w:t>Back to top</w:t>
        </w:r>
      </w:hyperlink>
    </w:p>
    <w:p w14:paraId="4CF7E19A" w14:textId="77777777" w:rsidR="00A37B03" w:rsidRPr="001F5102" w:rsidRDefault="00A37B03" w:rsidP="00997C33">
      <w:pPr>
        <w:rPr>
          <w:rFonts w:ascii="Arial" w:hAnsi="Arial" w:cs="Arial"/>
        </w:rPr>
      </w:pPr>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EA8C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7"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18"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19"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4"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5"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7E046F">
      <w:head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03FF" w14:textId="77777777" w:rsidR="00461E3C" w:rsidRDefault="00461E3C" w:rsidP="00E724F7">
      <w:r>
        <w:separator/>
      </w:r>
    </w:p>
  </w:endnote>
  <w:endnote w:type="continuationSeparator" w:id="0">
    <w:p w14:paraId="7339891A" w14:textId="77777777" w:rsidR="00461E3C" w:rsidRDefault="00461E3C" w:rsidP="00E724F7">
      <w:r>
        <w:continuationSeparator/>
      </w:r>
    </w:p>
  </w:endnote>
  <w:endnote w:type="continuationNotice" w:id="1">
    <w:p w14:paraId="17822321" w14:textId="77777777" w:rsidR="00461E3C" w:rsidRDefault="00461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0FB1" w14:textId="77777777" w:rsidR="00461E3C" w:rsidRDefault="00461E3C" w:rsidP="00E724F7">
      <w:r>
        <w:separator/>
      </w:r>
    </w:p>
  </w:footnote>
  <w:footnote w:type="continuationSeparator" w:id="0">
    <w:p w14:paraId="0A82A6C0" w14:textId="77777777" w:rsidR="00461E3C" w:rsidRDefault="00461E3C" w:rsidP="00E724F7">
      <w:r>
        <w:continuationSeparator/>
      </w:r>
    </w:p>
  </w:footnote>
  <w:footnote w:type="continuationNotice" w:id="1">
    <w:p w14:paraId="307B2B07" w14:textId="77777777" w:rsidR="00461E3C" w:rsidRDefault="00461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3842A61B"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6"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105E7"/>
    <w:multiLevelType w:val="hybridMultilevel"/>
    <w:tmpl w:val="7012DEFC"/>
    <w:lvl w:ilvl="0" w:tplc="922411F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5698B"/>
    <w:multiLevelType w:val="hybridMultilevel"/>
    <w:tmpl w:val="071AB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D117AD"/>
    <w:multiLevelType w:val="hybridMultilevel"/>
    <w:tmpl w:val="6B40E86A"/>
    <w:lvl w:ilvl="0" w:tplc="AE42C624">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6"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6"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052263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8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1712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601335">
    <w:abstractNumId w:val="16"/>
  </w:num>
  <w:num w:numId="5" w16cid:durableId="3818335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759623">
    <w:abstractNumId w:val="15"/>
  </w:num>
  <w:num w:numId="7" w16cid:durableId="2071076737">
    <w:abstractNumId w:val="21"/>
  </w:num>
  <w:num w:numId="8" w16cid:durableId="408817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8025">
    <w:abstractNumId w:val="5"/>
  </w:num>
  <w:num w:numId="10" w16cid:durableId="1273709628">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4124965">
    <w:abstractNumId w:val="29"/>
  </w:num>
  <w:num w:numId="12" w16cid:durableId="787090072">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120249859">
    <w:abstractNumId w:val="14"/>
  </w:num>
  <w:num w:numId="14" w16cid:durableId="1040327154">
    <w:abstractNumId w:val="6"/>
  </w:num>
  <w:num w:numId="15" w16cid:durableId="1508443688">
    <w:abstractNumId w:val="36"/>
  </w:num>
  <w:num w:numId="16" w16cid:durableId="1866286705">
    <w:abstractNumId w:val="1"/>
  </w:num>
  <w:num w:numId="17" w16cid:durableId="956258601">
    <w:abstractNumId w:val="32"/>
  </w:num>
  <w:num w:numId="18" w16cid:durableId="8393478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7523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145307">
    <w:abstractNumId w:val="0"/>
  </w:num>
  <w:num w:numId="21" w16cid:durableId="761873126">
    <w:abstractNumId w:val="11"/>
  </w:num>
  <w:num w:numId="22" w16cid:durableId="220873505">
    <w:abstractNumId w:val="7"/>
  </w:num>
  <w:num w:numId="23" w16cid:durableId="1456022646">
    <w:abstractNumId w:val="24"/>
  </w:num>
  <w:num w:numId="24" w16cid:durableId="1345979568">
    <w:abstractNumId w:val="4"/>
  </w:num>
  <w:num w:numId="25" w16cid:durableId="360977411">
    <w:abstractNumId w:val="17"/>
  </w:num>
  <w:num w:numId="26" w16cid:durableId="1964073458">
    <w:abstractNumId w:val="30"/>
  </w:num>
  <w:num w:numId="27" w16cid:durableId="665399667">
    <w:abstractNumId w:val="2"/>
  </w:num>
  <w:num w:numId="28" w16cid:durableId="1135684567">
    <w:abstractNumId w:val="27"/>
  </w:num>
  <w:num w:numId="29" w16cid:durableId="1468430753">
    <w:abstractNumId w:val="23"/>
  </w:num>
  <w:num w:numId="30" w16cid:durableId="1495563491">
    <w:abstractNumId w:val="19"/>
  </w:num>
  <w:num w:numId="31" w16cid:durableId="1228956529">
    <w:abstractNumId w:val="3"/>
  </w:num>
  <w:num w:numId="32" w16cid:durableId="883710768">
    <w:abstractNumId w:val="33"/>
  </w:num>
  <w:num w:numId="33" w16cid:durableId="448549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565851">
    <w:abstractNumId w:val="12"/>
  </w:num>
  <w:num w:numId="35" w16cid:durableId="2828982">
    <w:abstractNumId w:val="25"/>
  </w:num>
  <w:num w:numId="36" w16cid:durableId="421687077">
    <w:abstractNumId w:val="39"/>
  </w:num>
  <w:num w:numId="37" w16cid:durableId="1636644373">
    <w:abstractNumId w:val="38"/>
  </w:num>
  <w:num w:numId="38" w16cid:durableId="1961374453">
    <w:abstractNumId w:val="26"/>
  </w:num>
  <w:num w:numId="39" w16cid:durableId="1544245339">
    <w:abstractNumId w:val="31"/>
  </w:num>
  <w:num w:numId="40" w16cid:durableId="1141535342">
    <w:abstractNumId w:val="18"/>
  </w:num>
  <w:num w:numId="41" w16cid:durableId="413164915">
    <w:abstractNumId w:val="8"/>
  </w:num>
  <w:num w:numId="42" w16cid:durableId="2140031839">
    <w:abstractNumId w:val="13"/>
  </w:num>
  <w:num w:numId="43" w16cid:durableId="127819983">
    <w:abstractNumId w:val="10"/>
  </w:num>
  <w:num w:numId="44" w16cid:durableId="20075069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0A49"/>
    <w:rsid w:val="00031481"/>
    <w:rsid w:val="00036CEF"/>
    <w:rsid w:val="0003786A"/>
    <w:rsid w:val="00041F02"/>
    <w:rsid w:val="00042F9C"/>
    <w:rsid w:val="000431CA"/>
    <w:rsid w:val="000452B8"/>
    <w:rsid w:val="000530A7"/>
    <w:rsid w:val="000553FE"/>
    <w:rsid w:val="000579E7"/>
    <w:rsid w:val="00057FFE"/>
    <w:rsid w:val="00062055"/>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453D"/>
    <w:rsid w:val="00125568"/>
    <w:rsid w:val="00136D47"/>
    <w:rsid w:val="00136D4E"/>
    <w:rsid w:val="001372A5"/>
    <w:rsid w:val="00140FD8"/>
    <w:rsid w:val="00144F98"/>
    <w:rsid w:val="0015202C"/>
    <w:rsid w:val="0015490F"/>
    <w:rsid w:val="00154C45"/>
    <w:rsid w:val="001551B9"/>
    <w:rsid w:val="001658FA"/>
    <w:rsid w:val="00167964"/>
    <w:rsid w:val="001703D1"/>
    <w:rsid w:val="001748B2"/>
    <w:rsid w:val="001748C6"/>
    <w:rsid w:val="00174F7A"/>
    <w:rsid w:val="00176BBA"/>
    <w:rsid w:val="001770C0"/>
    <w:rsid w:val="0019457B"/>
    <w:rsid w:val="00194B8C"/>
    <w:rsid w:val="001A06DA"/>
    <w:rsid w:val="001A286F"/>
    <w:rsid w:val="001A50AE"/>
    <w:rsid w:val="001A5994"/>
    <w:rsid w:val="001A64CB"/>
    <w:rsid w:val="001B1502"/>
    <w:rsid w:val="001B4E70"/>
    <w:rsid w:val="001B72D4"/>
    <w:rsid w:val="001B7C7F"/>
    <w:rsid w:val="001C19E7"/>
    <w:rsid w:val="001C3886"/>
    <w:rsid w:val="001D230E"/>
    <w:rsid w:val="001D2514"/>
    <w:rsid w:val="001D28DD"/>
    <w:rsid w:val="001D2B57"/>
    <w:rsid w:val="001D32E4"/>
    <w:rsid w:val="001D4136"/>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33E1"/>
    <w:rsid w:val="00245A9D"/>
    <w:rsid w:val="00250450"/>
    <w:rsid w:val="00252904"/>
    <w:rsid w:val="002533F5"/>
    <w:rsid w:val="00254E17"/>
    <w:rsid w:val="00266332"/>
    <w:rsid w:val="00275348"/>
    <w:rsid w:val="00276FA2"/>
    <w:rsid w:val="002811AB"/>
    <w:rsid w:val="00283571"/>
    <w:rsid w:val="00291BF9"/>
    <w:rsid w:val="00297C19"/>
    <w:rsid w:val="002A43CF"/>
    <w:rsid w:val="002C1693"/>
    <w:rsid w:val="002C1CC2"/>
    <w:rsid w:val="002C450B"/>
    <w:rsid w:val="002C6D9D"/>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EA2"/>
    <w:rsid w:val="003717A2"/>
    <w:rsid w:val="00373345"/>
    <w:rsid w:val="00380A0E"/>
    <w:rsid w:val="003850CD"/>
    <w:rsid w:val="00385613"/>
    <w:rsid w:val="00385E62"/>
    <w:rsid w:val="00392115"/>
    <w:rsid w:val="00396DB3"/>
    <w:rsid w:val="003976E9"/>
    <w:rsid w:val="003A0DC8"/>
    <w:rsid w:val="003A14CD"/>
    <w:rsid w:val="003A518E"/>
    <w:rsid w:val="003A7686"/>
    <w:rsid w:val="003B0B4E"/>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07CB5"/>
    <w:rsid w:val="004153A7"/>
    <w:rsid w:val="004165AD"/>
    <w:rsid w:val="00420C01"/>
    <w:rsid w:val="0042314C"/>
    <w:rsid w:val="00423F99"/>
    <w:rsid w:val="00427390"/>
    <w:rsid w:val="0043705A"/>
    <w:rsid w:val="004501E7"/>
    <w:rsid w:val="00450705"/>
    <w:rsid w:val="00451A3D"/>
    <w:rsid w:val="00455415"/>
    <w:rsid w:val="00461E3C"/>
    <w:rsid w:val="00463B25"/>
    <w:rsid w:val="00465878"/>
    <w:rsid w:val="0046634C"/>
    <w:rsid w:val="004678DD"/>
    <w:rsid w:val="00475909"/>
    <w:rsid w:val="0047642B"/>
    <w:rsid w:val="00486B21"/>
    <w:rsid w:val="004975EA"/>
    <w:rsid w:val="004A0486"/>
    <w:rsid w:val="004A0E10"/>
    <w:rsid w:val="004A5D11"/>
    <w:rsid w:val="004A6F18"/>
    <w:rsid w:val="004B0E37"/>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4987"/>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5C2E"/>
    <w:rsid w:val="005B39A1"/>
    <w:rsid w:val="005B56FD"/>
    <w:rsid w:val="005B6CBA"/>
    <w:rsid w:val="005C0D72"/>
    <w:rsid w:val="005C1E0A"/>
    <w:rsid w:val="005C3423"/>
    <w:rsid w:val="005D223B"/>
    <w:rsid w:val="005D370A"/>
    <w:rsid w:val="005D39DB"/>
    <w:rsid w:val="005D5C09"/>
    <w:rsid w:val="005D6571"/>
    <w:rsid w:val="005D6E90"/>
    <w:rsid w:val="005D7F89"/>
    <w:rsid w:val="005E29A7"/>
    <w:rsid w:val="005E67FE"/>
    <w:rsid w:val="005F02F2"/>
    <w:rsid w:val="005F04D1"/>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324F"/>
    <w:rsid w:val="006338EA"/>
    <w:rsid w:val="006373B1"/>
    <w:rsid w:val="006433CA"/>
    <w:rsid w:val="00643BD1"/>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2BB"/>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185B"/>
    <w:rsid w:val="0073355B"/>
    <w:rsid w:val="00735D4D"/>
    <w:rsid w:val="00740D11"/>
    <w:rsid w:val="00743451"/>
    <w:rsid w:val="00743DDB"/>
    <w:rsid w:val="00750ECD"/>
    <w:rsid w:val="00751AF4"/>
    <w:rsid w:val="0075254C"/>
    <w:rsid w:val="00754B66"/>
    <w:rsid w:val="00756969"/>
    <w:rsid w:val="0076226C"/>
    <w:rsid w:val="007629CB"/>
    <w:rsid w:val="00762B2A"/>
    <w:rsid w:val="007633CA"/>
    <w:rsid w:val="00765853"/>
    <w:rsid w:val="007670CF"/>
    <w:rsid w:val="00771538"/>
    <w:rsid w:val="0077399D"/>
    <w:rsid w:val="007865C2"/>
    <w:rsid w:val="0078774A"/>
    <w:rsid w:val="0079016E"/>
    <w:rsid w:val="007971B8"/>
    <w:rsid w:val="007A24F1"/>
    <w:rsid w:val="007A6AF1"/>
    <w:rsid w:val="007A7AD2"/>
    <w:rsid w:val="007B1CB9"/>
    <w:rsid w:val="007B5246"/>
    <w:rsid w:val="007B680A"/>
    <w:rsid w:val="007C41B9"/>
    <w:rsid w:val="007C570C"/>
    <w:rsid w:val="007C78C0"/>
    <w:rsid w:val="007D0FA3"/>
    <w:rsid w:val="007D1CB6"/>
    <w:rsid w:val="007D22CD"/>
    <w:rsid w:val="007D54CE"/>
    <w:rsid w:val="007D55E6"/>
    <w:rsid w:val="007E02EB"/>
    <w:rsid w:val="007E046F"/>
    <w:rsid w:val="007E348B"/>
    <w:rsid w:val="007E4EA9"/>
    <w:rsid w:val="007F1DFA"/>
    <w:rsid w:val="007F584C"/>
    <w:rsid w:val="008020BB"/>
    <w:rsid w:val="008036DA"/>
    <w:rsid w:val="008037F0"/>
    <w:rsid w:val="00803C36"/>
    <w:rsid w:val="00804AF0"/>
    <w:rsid w:val="008052FE"/>
    <w:rsid w:val="008060EC"/>
    <w:rsid w:val="00806994"/>
    <w:rsid w:val="00807374"/>
    <w:rsid w:val="008129A3"/>
    <w:rsid w:val="008132F8"/>
    <w:rsid w:val="008144D7"/>
    <w:rsid w:val="00820B0D"/>
    <w:rsid w:val="00823286"/>
    <w:rsid w:val="0082548B"/>
    <w:rsid w:val="008345F6"/>
    <w:rsid w:val="00834693"/>
    <w:rsid w:val="0084300D"/>
    <w:rsid w:val="0084544A"/>
    <w:rsid w:val="00846B2F"/>
    <w:rsid w:val="00850C00"/>
    <w:rsid w:val="00851100"/>
    <w:rsid w:val="008516E7"/>
    <w:rsid w:val="00856481"/>
    <w:rsid w:val="00862CE3"/>
    <w:rsid w:val="00863472"/>
    <w:rsid w:val="008636A0"/>
    <w:rsid w:val="008643CB"/>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867"/>
    <w:rsid w:val="008A7F37"/>
    <w:rsid w:val="008B56DD"/>
    <w:rsid w:val="008B71F2"/>
    <w:rsid w:val="008C018C"/>
    <w:rsid w:val="008C28EE"/>
    <w:rsid w:val="008C2DB4"/>
    <w:rsid w:val="008C3ED8"/>
    <w:rsid w:val="008C5805"/>
    <w:rsid w:val="008C71D4"/>
    <w:rsid w:val="008C78BE"/>
    <w:rsid w:val="008C79AD"/>
    <w:rsid w:val="008D40DE"/>
    <w:rsid w:val="008D4966"/>
    <w:rsid w:val="008D6545"/>
    <w:rsid w:val="008D7B74"/>
    <w:rsid w:val="008E29C9"/>
    <w:rsid w:val="008E4170"/>
    <w:rsid w:val="008E6F7E"/>
    <w:rsid w:val="008E7CC5"/>
    <w:rsid w:val="008F01F9"/>
    <w:rsid w:val="008F1D31"/>
    <w:rsid w:val="008F2D90"/>
    <w:rsid w:val="008F4A71"/>
    <w:rsid w:val="008F501F"/>
    <w:rsid w:val="008F66AB"/>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77763"/>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B03"/>
    <w:rsid w:val="00A37D94"/>
    <w:rsid w:val="00A461EB"/>
    <w:rsid w:val="00A537F4"/>
    <w:rsid w:val="00A56EDC"/>
    <w:rsid w:val="00A66B15"/>
    <w:rsid w:val="00A713BC"/>
    <w:rsid w:val="00A76996"/>
    <w:rsid w:val="00A76D42"/>
    <w:rsid w:val="00A77F96"/>
    <w:rsid w:val="00A94721"/>
    <w:rsid w:val="00AA0603"/>
    <w:rsid w:val="00AA2770"/>
    <w:rsid w:val="00AA2E09"/>
    <w:rsid w:val="00AA4F5E"/>
    <w:rsid w:val="00AA705E"/>
    <w:rsid w:val="00AC2FE1"/>
    <w:rsid w:val="00AD0292"/>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0456A"/>
    <w:rsid w:val="00B05251"/>
    <w:rsid w:val="00B139D2"/>
    <w:rsid w:val="00B2122A"/>
    <w:rsid w:val="00B22440"/>
    <w:rsid w:val="00B22BA0"/>
    <w:rsid w:val="00B22F0F"/>
    <w:rsid w:val="00B23EC5"/>
    <w:rsid w:val="00B243B2"/>
    <w:rsid w:val="00B26C1C"/>
    <w:rsid w:val="00B30118"/>
    <w:rsid w:val="00B3077D"/>
    <w:rsid w:val="00B31B3A"/>
    <w:rsid w:val="00B34BA7"/>
    <w:rsid w:val="00B35DFB"/>
    <w:rsid w:val="00B45ACE"/>
    <w:rsid w:val="00B51EAE"/>
    <w:rsid w:val="00B61253"/>
    <w:rsid w:val="00B62E6A"/>
    <w:rsid w:val="00B661FF"/>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439A"/>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601F"/>
    <w:rsid w:val="00C17185"/>
    <w:rsid w:val="00C21F3E"/>
    <w:rsid w:val="00C32066"/>
    <w:rsid w:val="00C34DE9"/>
    <w:rsid w:val="00C34E86"/>
    <w:rsid w:val="00C35C95"/>
    <w:rsid w:val="00C35DC7"/>
    <w:rsid w:val="00C51267"/>
    <w:rsid w:val="00C539CD"/>
    <w:rsid w:val="00C55261"/>
    <w:rsid w:val="00C56C58"/>
    <w:rsid w:val="00C56E9D"/>
    <w:rsid w:val="00C602B9"/>
    <w:rsid w:val="00C62B79"/>
    <w:rsid w:val="00C62E34"/>
    <w:rsid w:val="00C64758"/>
    <w:rsid w:val="00C65673"/>
    <w:rsid w:val="00C6586B"/>
    <w:rsid w:val="00C73CFC"/>
    <w:rsid w:val="00C759E1"/>
    <w:rsid w:val="00C81877"/>
    <w:rsid w:val="00C835D5"/>
    <w:rsid w:val="00C84D08"/>
    <w:rsid w:val="00C857F3"/>
    <w:rsid w:val="00C94EB3"/>
    <w:rsid w:val="00C96CE0"/>
    <w:rsid w:val="00C97FC5"/>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3CA7"/>
    <w:rsid w:val="00D027F2"/>
    <w:rsid w:val="00D0463E"/>
    <w:rsid w:val="00D06893"/>
    <w:rsid w:val="00D15458"/>
    <w:rsid w:val="00D15893"/>
    <w:rsid w:val="00D16B29"/>
    <w:rsid w:val="00D16BAE"/>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6541E"/>
    <w:rsid w:val="00D71BD4"/>
    <w:rsid w:val="00D72348"/>
    <w:rsid w:val="00D72DA8"/>
    <w:rsid w:val="00D72FBA"/>
    <w:rsid w:val="00D822D0"/>
    <w:rsid w:val="00D84FD4"/>
    <w:rsid w:val="00D85732"/>
    <w:rsid w:val="00D914EA"/>
    <w:rsid w:val="00D94614"/>
    <w:rsid w:val="00D95B5F"/>
    <w:rsid w:val="00DA0410"/>
    <w:rsid w:val="00DA1056"/>
    <w:rsid w:val="00DA2126"/>
    <w:rsid w:val="00DA2230"/>
    <w:rsid w:val="00DA31D4"/>
    <w:rsid w:val="00DA5A5A"/>
    <w:rsid w:val="00DA72F3"/>
    <w:rsid w:val="00DC0C97"/>
    <w:rsid w:val="00DC4233"/>
    <w:rsid w:val="00DC6BD6"/>
    <w:rsid w:val="00DD138A"/>
    <w:rsid w:val="00DD42D7"/>
    <w:rsid w:val="00DD4939"/>
    <w:rsid w:val="00DD6A76"/>
    <w:rsid w:val="00DE08B4"/>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5678B"/>
    <w:rsid w:val="00E619E9"/>
    <w:rsid w:val="00E66073"/>
    <w:rsid w:val="00E70DA9"/>
    <w:rsid w:val="00E724F7"/>
    <w:rsid w:val="00E7390B"/>
    <w:rsid w:val="00E75A3F"/>
    <w:rsid w:val="00E77B9C"/>
    <w:rsid w:val="00E815B3"/>
    <w:rsid w:val="00E8206B"/>
    <w:rsid w:val="00E82918"/>
    <w:rsid w:val="00E91ED5"/>
    <w:rsid w:val="00E933A0"/>
    <w:rsid w:val="00E95B28"/>
    <w:rsid w:val="00EA7708"/>
    <w:rsid w:val="00EB5431"/>
    <w:rsid w:val="00EB6A53"/>
    <w:rsid w:val="00EB6B2A"/>
    <w:rsid w:val="00EC2BF5"/>
    <w:rsid w:val="00EC3328"/>
    <w:rsid w:val="00EC3F20"/>
    <w:rsid w:val="00EC66B3"/>
    <w:rsid w:val="00EC7192"/>
    <w:rsid w:val="00ED73B3"/>
    <w:rsid w:val="00EE1ADD"/>
    <w:rsid w:val="00EE201B"/>
    <w:rsid w:val="00EE2194"/>
    <w:rsid w:val="00EE5159"/>
    <w:rsid w:val="00EE6E3B"/>
    <w:rsid w:val="00EF0134"/>
    <w:rsid w:val="00EF6FF3"/>
    <w:rsid w:val="00F01A93"/>
    <w:rsid w:val="00F01E9B"/>
    <w:rsid w:val="00F0328A"/>
    <w:rsid w:val="00F03E9E"/>
    <w:rsid w:val="00F14266"/>
    <w:rsid w:val="00F1564F"/>
    <w:rsid w:val="00F21965"/>
    <w:rsid w:val="00F21C16"/>
    <w:rsid w:val="00F25F13"/>
    <w:rsid w:val="00F30127"/>
    <w:rsid w:val="00F43BCF"/>
    <w:rsid w:val="00F4793F"/>
    <w:rsid w:val="00F603BF"/>
    <w:rsid w:val="00F64758"/>
    <w:rsid w:val="00F649F0"/>
    <w:rsid w:val="00F65977"/>
    <w:rsid w:val="00F66FF8"/>
    <w:rsid w:val="00F72754"/>
    <w:rsid w:val="00F728BA"/>
    <w:rsid w:val="00F72BF6"/>
    <w:rsid w:val="00F733E7"/>
    <w:rsid w:val="00F76151"/>
    <w:rsid w:val="00F772F3"/>
    <w:rsid w:val="00F83D4D"/>
    <w:rsid w:val="00FA014D"/>
    <w:rsid w:val="00FA59C6"/>
    <w:rsid w:val="00FB0DE9"/>
    <w:rsid w:val="00FB21E7"/>
    <w:rsid w:val="00FB38DA"/>
    <w:rsid w:val="00FB5F9A"/>
    <w:rsid w:val="00FC691D"/>
    <w:rsid w:val="00FD4E21"/>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B62E6A"/>
    <w:pPr>
      <w:numPr>
        <w:numId w:val="43"/>
      </w:numPr>
      <w:tabs>
        <w:tab w:val="right" w:leader="dot" w:pos="9350"/>
      </w:tabs>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8E4170"/>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3991">
      <w:bodyDiv w:val="1"/>
      <w:marLeft w:val="0"/>
      <w:marRight w:val="0"/>
      <w:marTop w:val="0"/>
      <w:marBottom w:val="0"/>
      <w:divBdr>
        <w:top w:val="none" w:sz="0" w:space="0" w:color="auto"/>
        <w:left w:val="none" w:sz="0" w:space="0" w:color="auto"/>
        <w:bottom w:val="none" w:sz="0" w:space="0" w:color="auto"/>
        <w:right w:val="none" w:sz="0" w:space="0" w:color="auto"/>
      </w:divBdr>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program_offices/comm_planning/environment_energy/ffrms" TargetMode="External"/><Relationship Id="rId18" Type="http://schemas.openxmlformats.org/officeDocument/2006/relationships/hyperlink" Target="mailto:LeanThinking@hud.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hud.gov/sites/dfiles/Housing/documents/Decision%2520Circuit%25202.0.xlsx" TargetMode="External"/><Relationship Id="rId17"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5"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2" Type="http://schemas.openxmlformats.org/officeDocument/2006/relationships/customXml" Target="../customXml/item2.xml"/><Relationship Id="rId16" Type="http://schemas.openxmlformats.org/officeDocument/2006/relationships/hyperlink" Target="https://www.zoomgov.com/meeting/register/vJItdeCgqz4vHw23XrxxzFJvpgcQxIpERSc" TargetMode="External"/><Relationship Id="rId20"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5" Type="http://schemas.openxmlformats.org/officeDocument/2006/relationships/numbering" Target="numbering.xml"/><Relationship Id="rId15" Type="http://schemas.openxmlformats.org/officeDocument/2006/relationships/hyperlink" Target="https://www.zoomgov.com/meeting/register/vJIsf-usrzMpEhhraDxvaPX00RBGu8BcPZg"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2023/03/24/2023-05699/floodplain-management-and-protection-of-wetlands-minimum-property-standards-for-flood-hazard" TargetMode="External"/><Relationship Id="rId22"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7684</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4</cp:revision>
  <cp:lastPrinted>2014-08-11T13:53:00Z</cp:lastPrinted>
  <dcterms:created xsi:type="dcterms:W3CDTF">2023-04-26T18:32:00Z</dcterms:created>
  <dcterms:modified xsi:type="dcterms:W3CDTF">2023-05-02T17:01:00Z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